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B" w:rsidRDefault="00CD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Vrchní státní zastupitelství v Olomouci</w:t>
      </w:r>
    </w:p>
    <w:p w:rsidR="0062177B" w:rsidRDefault="00CD1960">
      <w:pPr>
        <w:rPr>
          <w:sz w:val="24"/>
          <w:szCs w:val="24"/>
        </w:rPr>
      </w:pPr>
      <w:r>
        <w:rPr>
          <w:sz w:val="24"/>
          <w:szCs w:val="24"/>
        </w:rPr>
        <w:t>tř. 17. listopadu 44</w:t>
      </w:r>
      <w:r>
        <w:rPr>
          <w:sz w:val="24"/>
          <w:szCs w:val="24"/>
        </w:rPr>
        <w:br/>
        <w:t>770 00 Olomouc</w:t>
      </w:r>
    </w:p>
    <w:p w:rsidR="0062177B" w:rsidRDefault="0062177B">
      <w:pPr>
        <w:jc w:val="right"/>
        <w:rPr>
          <w:sz w:val="24"/>
          <w:szCs w:val="24"/>
        </w:rPr>
      </w:pPr>
    </w:p>
    <w:p w:rsidR="0062177B" w:rsidRDefault="0062177B">
      <w:pPr>
        <w:jc w:val="right"/>
        <w:rPr>
          <w:sz w:val="24"/>
          <w:szCs w:val="24"/>
        </w:rPr>
      </w:pPr>
    </w:p>
    <w:p w:rsidR="0062177B" w:rsidRDefault="003F1082">
      <w:pPr>
        <w:jc w:val="right"/>
        <w:rPr>
          <w:sz w:val="24"/>
          <w:szCs w:val="24"/>
        </w:rPr>
      </w:pPr>
      <w:r>
        <w:rPr>
          <w:sz w:val="24"/>
          <w:szCs w:val="24"/>
        </w:rPr>
        <w:t>Praha, 11</w:t>
      </w:r>
      <w:r w:rsidR="00CD1960">
        <w:rPr>
          <w:sz w:val="24"/>
          <w:szCs w:val="24"/>
        </w:rPr>
        <w:t xml:space="preserve">. </w:t>
      </w:r>
      <w:r>
        <w:rPr>
          <w:sz w:val="24"/>
          <w:szCs w:val="24"/>
        </w:rPr>
        <w:t>června</w:t>
      </w:r>
      <w:r w:rsidR="00CD1960">
        <w:rPr>
          <w:sz w:val="24"/>
          <w:szCs w:val="24"/>
        </w:rPr>
        <w:t xml:space="preserve"> 2015</w:t>
      </w:r>
    </w:p>
    <w:p w:rsidR="0062177B" w:rsidRDefault="0062177B">
      <w:pPr>
        <w:jc w:val="both"/>
        <w:rPr>
          <w:sz w:val="24"/>
          <w:szCs w:val="24"/>
        </w:rPr>
      </w:pPr>
    </w:p>
    <w:p w:rsidR="0062177B" w:rsidRDefault="0062177B">
      <w:pPr>
        <w:jc w:val="both"/>
        <w:rPr>
          <w:sz w:val="24"/>
          <w:szCs w:val="24"/>
        </w:rPr>
      </w:pPr>
    </w:p>
    <w:p w:rsidR="0062177B" w:rsidRDefault="0062177B">
      <w:pPr>
        <w:jc w:val="both"/>
        <w:rPr>
          <w:sz w:val="24"/>
          <w:szCs w:val="24"/>
        </w:rPr>
      </w:pPr>
    </w:p>
    <w:p w:rsidR="0062177B" w:rsidRDefault="0062177B">
      <w:pPr>
        <w:jc w:val="both"/>
        <w:rPr>
          <w:sz w:val="24"/>
          <w:szCs w:val="24"/>
        </w:rPr>
      </w:pPr>
    </w:p>
    <w:p w:rsidR="0062177B" w:rsidRDefault="00CD1960">
      <w:pPr>
        <w:ind w:left="2098" w:hanging="2098"/>
        <w:rPr>
          <w:b/>
          <w:sz w:val="24"/>
          <w:szCs w:val="24"/>
        </w:rPr>
      </w:pPr>
      <w:r>
        <w:rPr>
          <w:b/>
          <w:sz w:val="24"/>
          <w:szCs w:val="24"/>
        </w:rPr>
        <w:t>VĚC:</w:t>
      </w:r>
      <w:r>
        <w:rPr>
          <w:b/>
          <w:sz w:val="24"/>
          <w:szCs w:val="24"/>
        </w:rPr>
        <w:tab/>
        <w:t>DOPLNĚNÍ TRESTNÍHO OZNÁMENÍ</w:t>
      </w:r>
    </w:p>
    <w:p w:rsidR="0062177B" w:rsidRDefault="00CD1960">
      <w:pPr>
        <w:ind w:left="2098" w:hanging="209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 PROSINCE 2009</w:t>
      </w:r>
    </w:p>
    <w:p w:rsidR="0062177B" w:rsidRDefault="0062177B">
      <w:pPr>
        <w:jc w:val="both"/>
        <w:rPr>
          <w:sz w:val="24"/>
          <w:szCs w:val="24"/>
        </w:rPr>
      </w:pPr>
    </w:p>
    <w:p w:rsidR="0062177B" w:rsidRDefault="0062177B">
      <w:pPr>
        <w:jc w:val="both"/>
        <w:rPr>
          <w:sz w:val="24"/>
          <w:szCs w:val="24"/>
        </w:rPr>
      </w:pPr>
    </w:p>
    <w:p w:rsidR="0062177B" w:rsidRDefault="00CD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Oznamovatel: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RNDr. Jana Ryšlinková, CSc.</w:t>
      </w:r>
    </w:p>
    <w:p w:rsidR="0062177B" w:rsidRDefault="00CD19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nar. 10. 5. 1951, bytem Fibichova 552, 252 30 Řevnice</w:t>
      </w:r>
    </w:p>
    <w:p w:rsidR="003566AA" w:rsidRDefault="003566A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566AA" w:rsidRDefault="003566AA" w:rsidP="003566AA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PRAŽSKÉ FÓRUM</w:t>
      </w:r>
      <w:r>
        <w:rPr>
          <w:rFonts w:ascii="Arial" w:hAnsi="Arial" w:cs="Arial"/>
          <w:sz w:val="20"/>
          <w:szCs w:val="20"/>
        </w:rPr>
        <w:br/>
        <w:t>Bořivojova 694/108</w:t>
      </w:r>
      <w:r>
        <w:rPr>
          <w:rFonts w:ascii="Arial" w:hAnsi="Arial" w:cs="Arial"/>
          <w:sz w:val="20"/>
          <w:szCs w:val="20"/>
        </w:rPr>
        <w:br/>
        <w:t>130 00 Praha 3</w:t>
      </w:r>
    </w:p>
    <w:p w:rsidR="003566AA" w:rsidRDefault="003566AA" w:rsidP="003566AA">
      <w:pPr>
        <w:ind w:left="2124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22890734</w:t>
      </w:r>
    </w:p>
    <w:p w:rsidR="003566AA" w:rsidRDefault="003566AA">
      <w:pPr>
        <w:jc w:val="both"/>
        <w:rPr>
          <w:sz w:val="24"/>
          <w:szCs w:val="24"/>
        </w:rPr>
      </w:pPr>
    </w:p>
    <w:p w:rsidR="0062177B" w:rsidRDefault="0062177B">
      <w:pPr>
        <w:jc w:val="both"/>
        <w:rPr>
          <w:sz w:val="24"/>
          <w:szCs w:val="24"/>
        </w:rPr>
      </w:pPr>
    </w:p>
    <w:p w:rsidR="0062177B" w:rsidRDefault="00CD19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3124" w:rsidRPr="00F23124">
        <w:rPr>
          <w:sz w:val="24"/>
          <w:szCs w:val="24"/>
        </w:rPr>
        <w:t>1.</w:t>
      </w:r>
      <w:r w:rsidR="00F231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Trestní oznámení z prosince 2009</w:t>
      </w:r>
    </w:p>
    <w:p w:rsidR="0062177B" w:rsidRDefault="00CD19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24">
        <w:rPr>
          <w:sz w:val="24"/>
          <w:szCs w:val="24"/>
        </w:rPr>
        <w:t xml:space="preserve">2. </w:t>
      </w:r>
      <w:r>
        <w:rPr>
          <w:sz w:val="24"/>
          <w:szCs w:val="24"/>
        </w:rPr>
        <w:t>Zpráva parlamentní vyšetřovací komise z listopadu 2014</w:t>
      </w:r>
    </w:p>
    <w:p w:rsidR="0062177B" w:rsidRDefault="00CD19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24">
        <w:rPr>
          <w:sz w:val="24"/>
          <w:szCs w:val="24"/>
        </w:rPr>
        <w:t xml:space="preserve">3. </w:t>
      </w:r>
      <w:r>
        <w:rPr>
          <w:sz w:val="24"/>
          <w:szCs w:val="24"/>
        </w:rPr>
        <w:t>Rozsudek Vrchního soudu v Praze z prosince 2014</w:t>
      </w:r>
    </w:p>
    <w:p w:rsidR="0062177B" w:rsidRDefault="0062177B">
      <w:pPr>
        <w:jc w:val="both"/>
        <w:rPr>
          <w:sz w:val="24"/>
          <w:szCs w:val="24"/>
        </w:rPr>
      </w:pPr>
    </w:p>
    <w:p w:rsidR="0062177B" w:rsidRDefault="0062177B">
      <w:pPr>
        <w:ind w:firstLine="709"/>
        <w:jc w:val="both"/>
        <w:rPr>
          <w:sz w:val="24"/>
          <w:szCs w:val="24"/>
        </w:rPr>
      </w:pP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numPr>
          <w:ilvl w:val="0"/>
          <w:numId w:val="3"/>
        </w:numPr>
        <w:tabs>
          <w:tab w:val="left" w:pos="0"/>
        </w:tabs>
        <w:spacing w:after="6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</w:t>
      </w:r>
    </w:p>
    <w:p w:rsidR="0062177B" w:rsidRDefault="0062177B">
      <w:pPr>
        <w:spacing w:after="60"/>
        <w:jc w:val="both"/>
        <w:rPr>
          <w:b/>
          <w:bCs/>
          <w:sz w:val="24"/>
          <w:szCs w:val="24"/>
        </w:rPr>
      </w:pP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V prosinci roku 2009 </w:t>
      </w:r>
      <w:r w:rsidR="00793E79">
        <w:rPr>
          <w:sz w:val="24"/>
          <w:szCs w:val="24"/>
        </w:rPr>
        <w:t xml:space="preserve">podala </w:t>
      </w:r>
      <w:r w:rsidR="00793E79">
        <w:rPr>
          <w:sz w:val="24"/>
          <w:szCs w:val="24"/>
        </w:rPr>
        <w:t xml:space="preserve">dr. Jana Ryšlinková </w:t>
      </w:r>
      <w:r>
        <w:rPr>
          <w:sz w:val="24"/>
          <w:szCs w:val="24"/>
        </w:rPr>
        <w:t xml:space="preserve">u Městského státního zastupitelství v Praze trestní oznámení na neznámé pachatele v souvislosti s projektem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(viz přílohu č. 1). Na základě </w:t>
      </w:r>
      <w:r w:rsidR="00793E79">
        <w:rPr>
          <w:sz w:val="24"/>
          <w:szCs w:val="24"/>
        </w:rPr>
        <w:t>jejího</w:t>
      </w:r>
      <w:r>
        <w:rPr>
          <w:sz w:val="24"/>
          <w:szCs w:val="24"/>
        </w:rPr>
        <w:t xml:space="preserve"> oznámení byli po pěti letech pravomocně odsouzeni pouze někdejší ředitel odboru informatiky MHMP Ing. Ivan </w:t>
      </w:r>
      <w:proofErr w:type="spellStart"/>
      <w:r>
        <w:rPr>
          <w:sz w:val="24"/>
          <w:szCs w:val="24"/>
        </w:rPr>
        <w:t>Seyček</w:t>
      </w:r>
      <w:proofErr w:type="spellEnd"/>
      <w:r>
        <w:rPr>
          <w:sz w:val="24"/>
          <w:szCs w:val="24"/>
        </w:rPr>
        <w:t xml:space="preserve"> a jeho podřízený vedoucí oddělení realizace Ing. Jiří Chytil. Oba byli Vrchním soudem v Praze shledáni vinnými za porušování povinnosti při správě cizího majetku podle § 255 trestního zákona, účinného </w:t>
      </w:r>
      <w:r w:rsidR="00F23124">
        <w:rPr>
          <w:sz w:val="24"/>
          <w:szCs w:val="24"/>
        </w:rPr>
        <w:t>do 31. 12. 2009 (viz přílohu č. </w:t>
      </w:r>
      <w:r>
        <w:rPr>
          <w:sz w:val="24"/>
          <w:szCs w:val="24"/>
        </w:rPr>
        <w:t>3).</w:t>
      </w:r>
      <w:r w:rsidR="00F23124">
        <w:rPr>
          <w:rStyle w:val="Znakapoznpodarou"/>
          <w:sz w:val="24"/>
          <w:szCs w:val="24"/>
        </w:rPr>
        <w:footnoteReference w:id="1"/>
      </w:r>
    </w:p>
    <w:p w:rsidR="0062177B" w:rsidRDefault="00CD1960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Toto doplnění trestního oznámení podávám</w:t>
      </w:r>
      <w:r w:rsidR="00793E7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proto, že nepovažuj</w:t>
      </w:r>
      <w:r w:rsidR="00793E79">
        <w:rPr>
          <w:b/>
          <w:sz w:val="24"/>
          <w:szCs w:val="24"/>
        </w:rPr>
        <w:t>eme</w:t>
      </w:r>
      <w:r>
        <w:rPr>
          <w:b/>
          <w:sz w:val="24"/>
          <w:szCs w:val="24"/>
        </w:rPr>
        <w:t xml:space="preserve"> za správné, aby byli sankcionováni pouze uvedení úředníci. Je </w:t>
      </w:r>
      <w:r w:rsidR="00A2016A">
        <w:rPr>
          <w:b/>
          <w:sz w:val="24"/>
          <w:szCs w:val="24"/>
        </w:rPr>
        <w:t>zjevné</w:t>
      </w:r>
      <w:r>
        <w:rPr>
          <w:b/>
          <w:sz w:val="24"/>
          <w:szCs w:val="24"/>
        </w:rPr>
        <w:t>, že na trestné činnosti úředníků se podílely další osoby. Je rovněž evidentní, že existuje skupina osob, která z trestné činnosti úředníků těžila nebo dodnes těží.</w:t>
      </w:r>
    </w:p>
    <w:p w:rsidR="0062177B" w:rsidRDefault="00CD1960">
      <w:pPr>
        <w:keepNext/>
        <w:spacing w:after="6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Při práci n</w:t>
      </w:r>
      <w:r w:rsidR="00793E79">
        <w:rPr>
          <w:sz w:val="24"/>
          <w:szCs w:val="24"/>
        </w:rPr>
        <w:t>a tomto doplnění jsme</w:t>
      </w:r>
      <w:r>
        <w:rPr>
          <w:sz w:val="24"/>
          <w:szCs w:val="24"/>
        </w:rPr>
        <w:t xml:space="preserve"> vycházel</w:t>
      </w:r>
      <w:r w:rsidR="00793E79">
        <w:rPr>
          <w:sz w:val="24"/>
          <w:szCs w:val="24"/>
        </w:rPr>
        <w:t>i</w:t>
      </w:r>
      <w:r>
        <w:rPr>
          <w:sz w:val="24"/>
          <w:szCs w:val="24"/>
        </w:rPr>
        <w:t xml:space="preserve"> zejména ze závěrů </w:t>
      </w:r>
      <w:r>
        <w:rPr>
          <w:color w:val="000000"/>
          <w:sz w:val="24"/>
          <w:szCs w:val="24"/>
        </w:rPr>
        <w:t xml:space="preserve">Vyšetřovací komise Poslanecké sněmovny k prověření způsobu vyšetřování kauzy </w:t>
      </w:r>
      <w:proofErr w:type="spellStart"/>
      <w:r w:rsidR="00F23124">
        <w:rPr>
          <w:color w:val="000000"/>
          <w:sz w:val="24"/>
          <w:szCs w:val="24"/>
        </w:rPr>
        <w:t>Opencard</w:t>
      </w:r>
      <w:proofErr w:type="spellEnd"/>
      <w:r w:rsidR="00F23124">
        <w:rPr>
          <w:color w:val="000000"/>
          <w:sz w:val="24"/>
          <w:szCs w:val="24"/>
        </w:rPr>
        <w:t xml:space="preserve"> (viz přílohu č. 2) a z </w:t>
      </w:r>
      <w:r w:rsidR="00793E79">
        <w:rPr>
          <w:color w:val="000000"/>
          <w:sz w:val="24"/>
          <w:szCs w:val="24"/>
        </w:rPr>
        <w:t>dalších podkladů, které js</w:t>
      </w:r>
      <w:r>
        <w:rPr>
          <w:color w:val="000000"/>
          <w:sz w:val="24"/>
          <w:szCs w:val="24"/>
        </w:rPr>
        <w:t>m</w:t>
      </w:r>
      <w:r w:rsidR="00793E79">
        <w:rPr>
          <w:color w:val="000000"/>
          <w:sz w:val="24"/>
          <w:szCs w:val="24"/>
        </w:rPr>
        <w:t xml:space="preserve">e ve věci </w:t>
      </w:r>
      <w:proofErr w:type="spellStart"/>
      <w:r w:rsidR="00793E79">
        <w:rPr>
          <w:color w:val="000000"/>
          <w:sz w:val="24"/>
          <w:szCs w:val="24"/>
        </w:rPr>
        <w:t>Opencard</w:t>
      </w:r>
      <w:proofErr w:type="spellEnd"/>
      <w:r w:rsidR="00793E79">
        <w:rPr>
          <w:color w:val="000000"/>
          <w:sz w:val="24"/>
          <w:szCs w:val="24"/>
        </w:rPr>
        <w:t xml:space="preserve"> shromáždili</w:t>
      </w:r>
      <w:r>
        <w:rPr>
          <w:color w:val="000000"/>
          <w:sz w:val="24"/>
          <w:szCs w:val="24"/>
        </w:rPr>
        <w:t xml:space="preserve"> z veřejně dostupných zdrojů.</w:t>
      </w: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keepNext/>
        <w:numPr>
          <w:ilvl w:val="0"/>
          <w:numId w:val="3"/>
        </w:numPr>
        <w:tabs>
          <w:tab w:val="left" w:pos="0"/>
        </w:tabs>
        <w:spacing w:after="60"/>
        <w:ind w:left="737" w:hanging="7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PŘÍSLUŠNOST VRCHNÍHO STÁTNÍHO ZASTUPITELSTVÍ V OLOMOUCI</w:t>
      </w:r>
    </w:p>
    <w:p w:rsidR="0062177B" w:rsidRDefault="0062177B">
      <w:pPr>
        <w:keepNext/>
        <w:spacing w:after="60"/>
        <w:ind w:firstLine="709"/>
        <w:jc w:val="both"/>
        <w:rPr>
          <w:color w:val="010101"/>
          <w:sz w:val="24"/>
          <w:szCs w:val="24"/>
        </w:rPr>
      </w:pPr>
    </w:p>
    <w:p w:rsidR="0062177B" w:rsidRDefault="00CD1960">
      <w:pPr>
        <w:spacing w:after="60"/>
        <w:ind w:firstLine="709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Podle trestního řádu (§ 25) může být věc příslušnému soudu z důležitých důvodů odňata a přikázána jinému soudu téhož druhu a stupně; o odnětí a přikázání rozhoduje soud, který je oběma soudům nejblíže společně nadřízen.</w:t>
      </w:r>
    </w:p>
    <w:p w:rsidR="0062177B" w:rsidRDefault="00CD1960">
      <w:pPr>
        <w:spacing w:after="60"/>
        <w:ind w:firstLine="709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Toto ustanovení je analogicky aplikovatelné i na soustavu státních zastupitelství. Mám</w:t>
      </w:r>
      <w:r w:rsidR="00793E79">
        <w:rPr>
          <w:color w:val="010101"/>
          <w:sz w:val="24"/>
          <w:szCs w:val="24"/>
        </w:rPr>
        <w:t>e</w:t>
      </w:r>
      <w:r>
        <w:rPr>
          <w:color w:val="010101"/>
          <w:sz w:val="24"/>
          <w:szCs w:val="24"/>
        </w:rPr>
        <w:t xml:space="preserve"> za to, že existují důležité důvody pro to, aby vyšetřování zbylé části kauzy </w:t>
      </w:r>
      <w:proofErr w:type="spellStart"/>
      <w:r>
        <w:rPr>
          <w:color w:val="010101"/>
          <w:sz w:val="24"/>
          <w:szCs w:val="24"/>
        </w:rPr>
        <w:t>Opencard</w:t>
      </w:r>
      <w:proofErr w:type="spellEnd"/>
      <w:r>
        <w:rPr>
          <w:color w:val="010101"/>
          <w:sz w:val="24"/>
          <w:szCs w:val="24"/>
        </w:rPr>
        <w:t xml:space="preserve"> převzalo jiné státní zastupitelství než Městské státní zastupitelství v Praze. Na městskou státní zástupkyni Máchovou bylo parlamentní vyšetřovací komisí </w:t>
      </w:r>
      <w:r>
        <w:rPr>
          <w:color w:val="000000"/>
          <w:sz w:val="24"/>
          <w:szCs w:val="24"/>
        </w:rPr>
        <w:t>(dále také „</w:t>
      </w:r>
      <w:r>
        <w:rPr>
          <w:b/>
          <w:bCs/>
          <w:color w:val="000000"/>
          <w:sz w:val="24"/>
          <w:szCs w:val="24"/>
        </w:rPr>
        <w:t xml:space="preserve">PVK </w:t>
      </w:r>
      <w:proofErr w:type="spellStart"/>
      <w:r>
        <w:rPr>
          <w:b/>
          <w:bCs/>
          <w:color w:val="000000"/>
          <w:sz w:val="24"/>
          <w:szCs w:val="24"/>
        </w:rPr>
        <w:t>Opencard</w:t>
      </w:r>
      <w:proofErr w:type="spellEnd"/>
      <w:r>
        <w:rPr>
          <w:color w:val="000000"/>
          <w:sz w:val="24"/>
          <w:szCs w:val="24"/>
        </w:rPr>
        <w:t xml:space="preserve">“) </w:t>
      </w:r>
      <w:r>
        <w:rPr>
          <w:color w:val="010101"/>
          <w:sz w:val="24"/>
          <w:szCs w:val="24"/>
        </w:rPr>
        <w:t xml:space="preserve">v souvislosti s kauzou </w:t>
      </w:r>
      <w:proofErr w:type="spellStart"/>
      <w:r>
        <w:rPr>
          <w:color w:val="010101"/>
          <w:sz w:val="24"/>
          <w:szCs w:val="24"/>
        </w:rPr>
        <w:t>Opencard</w:t>
      </w:r>
      <w:proofErr w:type="spellEnd"/>
      <w:r>
        <w:rPr>
          <w:color w:val="010101"/>
          <w:sz w:val="24"/>
          <w:szCs w:val="24"/>
        </w:rPr>
        <w:t xml:space="preserve"> podáno trestní oznámení. Je nutné vycházet z toho, že státní zástupkyně Máchová i její nadřízená městská státní zástupkyně </w:t>
      </w:r>
      <w:proofErr w:type="spellStart"/>
      <w:r>
        <w:rPr>
          <w:color w:val="010101"/>
          <w:sz w:val="24"/>
          <w:szCs w:val="24"/>
        </w:rPr>
        <w:t>Hercegová</w:t>
      </w:r>
      <w:proofErr w:type="spellEnd"/>
      <w:r>
        <w:rPr>
          <w:color w:val="010101"/>
          <w:sz w:val="24"/>
          <w:szCs w:val="24"/>
        </w:rPr>
        <w:t xml:space="preserve"> mají zájem na tom, aby v jejich dosavadním postupu nebyly shledány žádné nedostatky. Nelze předpokládat, že by Městské státní zastupitelství bylo schopné po téměř šesti letech od podání trestního oznámení dovodit trestní odpovědnost a obžalovat ještě někoho dalšího, než odsouzené úředníky města. Je přitom nabíledni, že z trestné činnosti odsouzených úředníků neměli </w:t>
      </w:r>
      <w:r w:rsidR="00A2016A">
        <w:rPr>
          <w:color w:val="010101"/>
          <w:sz w:val="24"/>
          <w:szCs w:val="24"/>
        </w:rPr>
        <w:t xml:space="preserve">největší </w:t>
      </w:r>
      <w:r>
        <w:rPr>
          <w:color w:val="010101"/>
          <w:sz w:val="24"/>
          <w:szCs w:val="24"/>
        </w:rPr>
        <w:t xml:space="preserve">prospěch tito úředníci, ale firma </w:t>
      </w:r>
      <w:proofErr w:type="spellStart"/>
      <w:r>
        <w:rPr>
          <w:color w:val="010101"/>
          <w:sz w:val="24"/>
          <w:szCs w:val="24"/>
        </w:rPr>
        <w:t>Haguess</w:t>
      </w:r>
      <w:proofErr w:type="spellEnd"/>
      <w:r>
        <w:rPr>
          <w:color w:val="010101"/>
          <w:sz w:val="24"/>
          <w:szCs w:val="24"/>
        </w:rPr>
        <w:t xml:space="preserve"> a další soukromé osoby, právnické i fyzické.</w:t>
      </w:r>
    </w:p>
    <w:p w:rsidR="0062177B" w:rsidRDefault="00CD1960">
      <w:pPr>
        <w:spacing w:after="60"/>
        <w:ind w:firstLine="709"/>
        <w:jc w:val="both"/>
        <w:rPr>
          <w:b/>
          <w:bCs/>
          <w:color w:val="010101"/>
          <w:sz w:val="24"/>
          <w:szCs w:val="24"/>
        </w:rPr>
      </w:pPr>
      <w:r>
        <w:rPr>
          <w:b/>
          <w:bCs/>
          <w:color w:val="010101"/>
          <w:sz w:val="24"/>
          <w:szCs w:val="24"/>
        </w:rPr>
        <w:t xml:space="preserve">Protože parlamentní vyšetřovací komise podala trestní oznámení na dozorovou státní zástupkyni kauzy </w:t>
      </w:r>
      <w:proofErr w:type="spellStart"/>
      <w:r>
        <w:rPr>
          <w:b/>
          <w:bCs/>
          <w:color w:val="010101"/>
          <w:sz w:val="24"/>
          <w:szCs w:val="24"/>
        </w:rPr>
        <w:t>Opencard</w:t>
      </w:r>
      <w:proofErr w:type="spellEnd"/>
      <w:r>
        <w:rPr>
          <w:b/>
          <w:bCs/>
          <w:color w:val="010101"/>
          <w:sz w:val="24"/>
          <w:szCs w:val="24"/>
        </w:rPr>
        <w:t xml:space="preserve"> pro její problematický postup v přípravném řízení, a protože její nadřízená městská státní zástupkyně </w:t>
      </w:r>
      <w:proofErr w:type="spellStart"/>
      <w:r>
        <w:rPr>
          <w:b/>
          <w:bCs/>
          <w:color w:val="010101"/>
          <w:sz w:val="24"/>
          <w:szCs w:val="24"/>
        </w:rPr>
        <w:t>Hercegová</w:t>
      </w:r>
      <w:proofErr w:type="spellEnd"/>
      <w:r>
        <w:rPr>
          <w:b/>
          <w:bCs/>
          <w:color w:val="010101"/>
          <w:sz w:val="24"/>
          <w:szCs w:val="24"/>
        </w:rPr>
        <w:t xml:space="preserve"> i Vrchní státní zastupitelství v</w:t>
      </w:r>
      <w:r w:rsidR="00793E79">
        <w:rPr>
          <w:b/>
          <w:bCs/>
          <w:color w:val="010101"/>
          <w:sz w:val="24"/>
          <w:szCs w:val="24"/>
        </w:rPr>
        <w:t> </w:t>
      </w:r>
      <w:r>
        <w:rPr>
          <w:b/>
          <w:bCs/>
          <w:color w:val="010101"/>
          <w:sz w:val="24"/>
          <w:szCs w:val="24"/>
        </w:rPr>
        <w:t>Praze mají zájem na tom, aby obhajoba státní zástupkyně Máchové byla úspěšná, podávám</w:t>
      </w:r>
      <w:r w:rsidR="00793E79">
        <w:rPr>
          <w:b/>
          <w:bCs/>
          <w:color w:val="010101"/>
          <w:sz w:val="24"/>
          <w:szCs w:val="24"/>
        </w:rPr>
        <w:t>e</w:t>
      </w:r>
      <w:r>
        <w:rPr>
          <w:b/>
          <w:bCs/>
          <w:color w:val="010101"/>
          <w:sz w:val="24"/>
          <w:szCs w:val="24"/>
        </w:rPr>
        <w:t xml:space="preserve"> toto doplnění trestního oznámení na Vrchní státní zastupitelství v Olomouci. Žádám</w:t>
      </w:r>
      <w:r w:rsidR="00793E79">
        <w:rPr>
          <w:b/>
          <w:bCs/>
          <w:color w:val="010101"/>
          <w:sz w:val="24"/>
          <w:szCs w:val="24"/>
        </w:rPr>
        <w:t>e</w:t>
      </w:r>
      <w:r>
        <w:rPr>
          <w:b/>
          <w:bCs/>
          <w:color w:val="010101"/>
          <w:sz w:val="24"/>
          <w:szCs w:val="24"/>
        </w:rPr>
        <w:t xml:space="preserve">, aby zbývající část vyšetřování kauzy </w:t>
      </w:r>
      <w:proofErr w:type="spellStart"/>
      <w:r>
        <w:rPr>
          <w:b/>
          <w:bCs/>
          <w:color w:val="010101"/>
          <w:sz w:val="24"/>
          <w:szCs w:val="24"/>
        </w:rPr>
        <w:t>Opencard</w:t>
      </w:r>
      <w:proofErr w:type="spellEnd"/>
      <w:r>
        <w:rPr>
          <w:b/>
          <w:bCs/>
          <w:color w:val="010101"/>
          <w:sz w:val="24"/>
          <w:szCs w:val="24"/>
        </w:rPr>
        <w:t xml:space="preserve"> dozorovalo přímo Vaše státní zastupitelství, nebo jiné, Vám podřízené státní zastupitelství.</w:t>
      </w:r>
    </w:p>
    <w:p w:rsidR="0062177B" w:rsidRDefault="0062177B">
      <w:pPr>
        <w:pStyle w:val="Tlotextu"/>
        <w:spacing w:after="60"/>
        <w:ind w:left="707" w:firstLine="709"/>
        <w:jc w:val="both"/>
        <w:rPr>
          <w:sz w:val="24"/>
          <w:szCs w:val="24"/>
        </w:rPr>
      </w:pPr>
    </w:p>
    <w:p w:rsidR="0062177B" w:rsidRDefault="0062177B">
      <w:pPr>
        <w:pStyle w:val="Tlotextu"/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keepNext/>
        <w:numPr>
          <w:ilvl w:val="0"/>
          <w:numId w:val="3"/>
        </w:numPr>
        <w:tabs>
          <w:tab w:val="left" w:pos="0"/>
        </w:tabs>
        <w:spacing w:after="60"/>
        <w:ind w:left="0" w:firstLine="0"/>
        <w:jc w:val="both"/>
        <w:rPr>
          <w:rStyle w:val="Silnzdraznn"/>
          <w:sz w:val="24"/>
          <w:szCs w:val="24"/>
        </w:rPr>
      </w:pPr>
      <w:r>
        <w:rPr>
          <w:b/>
          <w:bCs/>
          <w:sz w:val="24"/>
        </w:rPr>
        <w:t>ZÁVĚRY</w:t>
      </w:r>
      <w:r>
        <w:rPr>
          <w:rStyle w:val="Silnzdraznn"/>
          <w:sz w:val="28"/>
          <w:szCs w:val="24"/>
        </w:rPr>
        <w:t xml:space="preserve"> </w:t>
      </w:r>
      <w:r>
        <w:rPr>
          <w:rStyle w:val="Silnzdraznn"/>
          <w:sz w:val="24"/>
          <w:szCs w:val="24"/>
        </w:rPr>
        <w:t>PARLAMENTNÍ VYŠETŘOVACÍ KOMISE</w:t>
      </w:r>
    </w:p>
    <w:p w:rsidR="0062177B" w:rsidRDefault="0062177B">
      <w:pPr>
        <w:pStyle w:val="Tlotextu"/>
        <w:keepNext/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 vztahu k  trestnímu oznámení</w:t>
      </w:r>
      <w:r w:rsidR="00793E79">
        <w:rPr>
          <w:sz w:val="24"/>
          <w:szCs w:val="24"/>
        </w:rPr>
        <w:t xml:space="preserve"> dr. Jany Ryšlinkové</w:t>
      </w:r>
      <w:r>
        <w:rPr>
          <w:sz w:val="24"/>
          <w:szCs w:val="24"/>
        </w:rPr>
        <w:t xml:space="preserve"> považuj</w:t>
      </w:r>
      <w:r w:rsidR="00793E79">
        <w:rPr>
          <w:sz w:val="24"/>
          <w:szCs w:val="24"/>
        </w:rPr>
        <w:t>eme</w:t>
      </w:r>
      <w:r>
        <w:rPr>
          <w:sz w:val="24"/>
          <w:szCs w:val="24"/>
        </w:rPr>
        <w:t xml:space="preserve"> za nejdůležitější níže uvedené závěry 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>.</w:t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Stěžejním úkolem a bodem plánu vyšetřování 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byly výslechy osob, které v předmětné kauze vystupovaly jako úřední osoby, či o kauze něco věděly a kauzu vyšetřovaly. Samotné výslechy byly vedeny velmi podrobně, celkem jich bylo provedeno sedmnáct. Jednalo se o úředníky, policisty a politiky, a to na různých řídících funkcích a v různých postaveních ve firmách, úřadech a institucích.</w:t>
      </w:r>
    </w:p>
    <w:p w:rsidR="0062177B" w:rsidRDefault="00CD1960">
      <w:pPr>
        <w:spacing w:after="6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 celkovém vyhodnocení zajištěných důkazů, provedených výslechů, záznamů o prověření spisů vede</w:t>
      </w:r>
      <w:r w:rsidR="00A2016A">
        <w:rPr>
          <w:sz w:val="24"/>
          <w:szCs w:val="24"/>
        </w:rPr>
        <w:t xml:space="preserve">ných u GIBS, auditních zpráv a </w:t>
      </w:r>
      <w:r>
        <w:rPr>
          <w:sz w:val="24"/>
          <w:szCs w:val="24"/>
        </w:rPr>
        <w:t>také trestního oznámení</w:t>
      </w:r>
      <w:r w:rsidR="00793E79">
        <w:rPr>
          <w:sz w:val="24"/>
          <w:szCs w:val="24"/>
        </w:rPr>
        <w:t xml:space="preserve"> dr. Jany Ryšlinkové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PVK dospěla k názoru, že orgány činné v trestním řízení v rámci svého odborného a profesního nasazení ve vyšetřování předmětné kauzy pochybily.</w:t>
      </w:r>
    </w:p>
    <w:p w:rsidR="0062177B" w:rsidRDefault="00CD1960">
      <w:pPr>
        <w:keepLines/>
        <w:spacing w:after="60"/>
        <w:ind w:firstLine="709"/>
        <w:jc w:val="both"/>
        <w:rPr>
          <w:rStyle w:val="Ukotvenpoznmkypodarou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Vyšetřování kauzy se poměrně rychle odklonilo od </w:t>
      </w:r>
      <w:r w:rsidR="00793E79">
        <w:rPr>
          <w:b/>
          <w:bCs/>
          <w:sz w:val="24"/>
          <w:szCs w:val="24"/>
        </w:rPr>
        <w:t>uvedeného</w:t>
      </w:r>
      <w:r>
        <w:rPr>
          <w:b/>
          <w:bCs/>
          <w:sz w:val="24"/>
          <w:szCs w:val="24"/>
        </w:rPr>
        <w:t xml:space="preserve"> trestního oznámení, a to předevší</w:t>
      </w:r>
      <w:r w:rsidR="00A2016A">
        <w:rPr>
          <w:b/>
          <w:bCs/>
          <w:sz w:val="24"/>
          <w:szCs w:val="24"/>
        </w:rPr>
        <w:t xml:space="preserve">m v klíčovém bodu III. trestního </w:t>
      </w:r>
      <w:r>
        <w:rPr>
          <w:b/>
          <w:bCs/>
          <w:sz w:val="24"/>
          <w:szCs w:val="24"/>
        </w:rPr>
        <w:t>oznámení (dlouho plánovaný podvod). Chybí zkoumání, vyšetřování, zda nebyl celý záměr navržen, konstru</w:t>
      </w:r>
      <w:r w:rsidR="009321CE">
        <w:rPr>
          <w:b/>
          <w:bCs/>
          <w:sz w:val="24"/>
          <w:szCs w:val="24"/>
        </w:rPr>
        <w:t>ován a schválen skupinou osob v tehdejším</w:t>
      </w:r>
      <w:r>
        <w:rPr>
          <w:b/>
          <w:bCs/>
          <w:sz w:val="24"/>
          <w:szCs w:val="24"/>
        </w:rPr>
        <w:t xml:space="preserve"> vedení MHMP, respektive v Radě, s intencí podvodu a neoprávněného zisku.</w:t>
      </w:r>
      <w:r w:rsidR="00F23124" w:rsidRPr="00F23124">
        <w:rPr>
          <w:rStyle w:val="Znakapoznpodarou"/>
          <w:bCs/>
          <w:sz w:val="24"/>
          <w:szCs w:val="24"/>
        </w:rPr>
        <w:footnoteReference w:id="2"/>
      </w:r>
      <w:r w:rsidR="009321CE">
        <w:rPr>
          <w:b/>
          <w:bCs/>
          <w:sz w:val="24"/>
          <w:szCs w:val="24"/>
        </w:rPr>
        <w:t xml:space="preserve"> </w:t>
      </w:r>
      <w:r w:rsidR="00276B6F">
        <w:rPr>
          <w:b/>
          <w:bCs/>
          <w:sz w:val="24"/>
          <w:szCs w:val="24"/>
        </w:rPr>
        <w:t xml:space="preserve">K tomuto závěru přispívá i informace, která na PVK </w:t>
      </w:r>
      <w:proofErr w:type="spellStart"/>
      <w:r w:rsidR="00276B6F">
        <w:rPr>
          <w:b/>
          <w:bCs/>
          <w:sz w:val="24"/>
          <w:szCs w:val="24"/>
        </w:rPr>
        <w:t>Opencard</w:t>
      </w:r>
      <w:proofErr w:type="spellEnd"/>
      <w:r w:rsidR="00276B6F">
        <w:rPr>
          <w:b/>
          <w:bCs/>
          <w:sz w:val="24"/>
          <w:szCs w:val="24"/>
        </w:rPr>
        <w:t xml:space="preserve"> zazněla, že existovala přinejmenším 2 konta ve švýcarských bankách, k nimž měli přístup pracovníci MHPM a na nichž byly uloženy stamilionové částky. </w:t>
      </w:r>
    </w:p>
    <w:p w:rsidR="0062177B" w:rsidRDefault="00CD1960">
      <w:pPr>
        <w:spacing w:after="6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těm</w:t>
      </w:r>
      <w:r w:rsidR="00793E79">
        <w:rPr>
          <w:b/>
          <w:bCs/>
          <w:sz w:val="24"/>
          <w:szCs w:val="24"/>
        </w:rPr>
        <w:t xml:space="preserve">to závěrům PVK </w:t>
      </w:r>
      <w:proofErr w:type="spellStart"/>
      <w:r w:rsidR="00793E79">
        <w:rPr>
          <w:b/>
          <w:bCs/>
          <w:sz w:val="24"/>
          <w:szCs w:val="24"/>
        </w:rPr>
        <w:t>Opencard</w:t>
      </w:r>
      <w:proofErr w:type="spellEnd"/>
      <w:r w:rsidR="00793E79">
        <w:rPr>
          <w:b/>
          <w:bCs/>
          <w:sz w:val="24"/>
          <w:szCs w:val="24"/>
        </w:rPr>
        <w:t xml:space="preserve"> doplňujeme</w:t>
      </w:r>
      <w:r>
        <w:rPr>
          <w:b/>
          <w:bCs/>
          <w:sz w:val="24"/>
          <w:szCs w:val="24"/>
        </w:rPr>
        <w:t xml:space="preserve">, že v pozadí kauzy </w:t>
      </w:r>
      <w:proofErr w:type="spellStart"/>
      <w:r>
        <w:rPr>
          <w:b/>
          <w:bCs/>
          <w:sz w:val="24"/>
          <w:szCs w:val="24"/>
        </w:rPr>
        <w:t>Opencard</w:t>
      </w:r>
      <w:proofErr w:type="spellEnd"/>
      <w:r>
        <w:rPr>
          <w:b/>
          <w:bCs/>
          <w:sz w:val="24"/>
          <w:szCs w:val="24"/>
        </w:rPr>
        <w:t xml:space="preserve"> z povahy věci nemohly stát pouze osoby ve vedení MHMP, resp. členové rady města, ale rovněž osoby zvnějšku, spojené přímo či nepřímo se společností </w:t>
      </w:r>
      <w:proofErr w:type="spellStart"/>
      <w:r>
        <w:rPr>
          <w:b/>
          <w:bCs/>
          <w:sz w:val="24"/>
          <w:szCs w:val="24"/>
        </w:rPr>
        <w:t>Haguess</w:t>
      </w:r>
      <w:proofErr w:type="spellEnd"/>
      <w:r>
        <w:rPr>
          <w:b/>
          <w:bCs/>
          <w:sz w:val="24"/>
          <w:szCs w:val="24"/>
        </w:rPr>
        <w:t>.</w:t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Rozparcelování případu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na jednotlivé méně závažné trestné činy eliminovalo celkovou možnou trestní odpovědnost za přípravu a realizaci záměru jako komplexního finančního podvodu organizované a koordinované skupiny osob. V hledáčku pro</w:t>
      </w:r>
      <w:r w:rsidR="00A2016A">
        <w:rPr>
          <w:sz w:val="24"/>
          <w:szCs w:val="24"/>
        </w:rPr>
        <w:t xml:space="preserve">věřování a vyšetřování případu </w:t>
      </w:r>
      <w:r>
        <w:rPr>
          <w:sz w:val="24"/>
          <w:szCs w:val="24"/>
        </w:rPr>
        <w:t>zůstali pouze aktéři základní úrovně. Na subjektivní stránku trestného činu (úmysl), lze přitom usuzovat z provázanosti kroků jednotlivých aktérů a všech okolností daného případu, které svědčí a potvrzují záměr vyvést z poškozených subjektů finanční prostředky a obohatit se tak na jejich úkor. </w:t>
      </w:r>
    </w:p>
    <w:p w:rsidR="0062177B" w:rsidRDefault="00691B33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shledala jako vážný problém předvídatelnosti výkonu práva a rovnosti před zákonem</w:t>
      </w:r>
      <w:r>
        <w:rPr>
          <w:sz w:val="24"/>
          <w:szCs w:val="24"/>
        </w:rPr>
        <w:t xml:space="preserve"> z</w:t>
      </w:r>
      <w:r w:rsidR="00CD1960">
        <w:rPr>
          <w:sz w:val="24"/>
          <w:szCs w:val="24"/>
        </w:rPr>
        <w:t>áměrné opuštění logiky trestního oznámení</w:t>
      </w:r>
      <w:r>
        <w:rPr>
          <w:sz w:val="24"/>
          <w:szCs w:val="24"/>
        </w:rPr>
        <w:t xml:space="preserve">, </w:t>
      </w:r>
      <w:r w:rsidR="00CD1960">
        <w:rPr>
          <w:sz w:val="24"/>
          <w:szCs w:val="24"/>
        </w:rPr>
        <w:t>následné rozdělování jednoho trestního skutku na dílčí a méně závažná obvinění</w:t>
      </w:r>
      <w:r>
        <w:rPr>
          <w:sz w:val="24"/>
          <w:szCs w:val="24"/>
        </w:rPr>
        <w:t>,</w:t>
      </w:r>
      <w:r w:rsidR="00CD1960">
        <w:rPr>
          <w:sz w:val="24"/>
          <w:szCs w:val="24"/>
        </w:rPr>
        <w:t xml:space="preserve"> zřetelnou nekonzistenci v postupu státního zastupitelství téže státní zástupkyně ve vyšetřování </w:t>
      </w:r>
      <w:r>
        <w:rPr>
          <w:sz w:val="24"/>
          <w:szCs w:val="24"/>
        </w:rPr>
        <w:t xml:space="preserve">jakož </w:t>
      </w:r>
      <w:r w:rsidR="00CD1960">
        <w:rPr>
          <w:sz w:val="24"/>
          <w:szCs w:val="24"/>
        </w:rPr>
        <w:t>i v trestně právní kvalifikaci téhož projektu v různých obdobích. Souhrnně vzato</w:t>
      </w:r>
      <w:r>
        <w:rPr>
          <w:sz w:val="24"/>
          <w:szCs w:val="24"/>
        </w:rPr>
        <w:t>,</w:t>
      </w:r>
      <w:r w:rsidR="00CD1960">
        <w:rPr>
          <w:sz w:val="24"/>
          <w:szCs w:val="24"/>
        </w:rPr>
        <w:t xml:space="preserve"> PVK </w:t>
      </w:r>
      <w:proofErr w:type="spellStart"/>
      <w:r w:rsidR="00CD1960">
        <w:rPr>
          <w:sz w:val="24"/>
          <w:szCs w:val="24"/>
        </w:rPr>
        <w:t>Opencard</w:t>
      </w:r>
      <w:proofErr w:type="spellEnd"/>
      <w:r w:rsidR="00CD1960">
        <w:rPr>
          <w:sz w:val="24"/>
          <w:szCs w:val="24"/>
        </w:rPr>
        <w:t xml:space="preserve"> považuje za chybné nerespektování logiky a důkazů trestního oznámení, nerespektování příslušné judikatury, rozdělení skutku na dílčí a následné překvalifikování trestných činů</w:t>
      </w:r>
      <w:r w:rsidR="009321CE">
        <w:rPr>
          <w:sz w:val="24"/>
          <w:szCs w:val="24"/>
        </w:rPr>
        <w:t xml:space="preserve">. Stejně tak PVK </w:t>
      </w:r>
      <w:proofErr w:type="spellStart"/>
      <w:r w:rsidR="009321CE">
        <w:rPr>
          <w:sz w:val="24"/>
          <w:szCs w:val="24"/>
        </w:rPr>
        <w:t>Opencard</w:t>
      </w:r>
      <w:proofErr w:type="spellEnd"/>
      <w:r w:rsidR="009321CE">
        <w:rPr>
          <w:sz w:val="24"/>
          <w:szCs w:val="24"/>
        </w:rPr>
        <w:t xml:space="preserve"> považuje za chybnou</w:t>
      </w:r>
      <w:r w:rsidR="00CD1960">
        <w:rPr>
          <w:sz w:val="24"/>
          <w:szCs w:val="24"/>
        </w:rPr>
        <w:t xml:space="preserve"> rozdílnou právní kvalifikaci </w:t>
      </w:r>
      <w:r w:rsidR="009321CE">
        <w:rPr>
          <w:sz w:val="24"/>
          <w:szCs w:val="24"/>
        </w:rPr>
        <w:t xml:space="preserve">dvou </w:t>
      </w:r>
      <w:r w:rsidR="00CD1960">
        <w:rPr>
          <w:sz w:val="24"/>
          <w:szCs w:val="24"/>
        </w:rPr>
        <w:t>prakticky velmi podobn</w:t>
      </w:r>
      <w:r w:rsidR="009321CE">
        <w:rPr>
          <w:sz w:val="24"/>
          <w:szCs w:val="24"/>
        </w:rPr>
        <w:t xml:space="preserve">ých kauz týkajících se </w:t>
      </w:r>
      <w:r w:rsidR="00CD1960">
        <w:rPr>
          <w:sz w:val="24"/>
          <w:szCs w:val="24"/>
        </w:rPr>
        <w:t xml:space="preserve">rozhodnutí Rady MHMP v případu </w:t>
      </w:r>
      <w:proofErr w:type="spellStart"/>
      <w:r w:rsidR="00CD1960">
        <w:rPr>
          <w:sz w:val="24"/>
          <w:szCs w:val="24"/>
        </w:rPr>
        <w:t>Opencard</w:t>
      </w:r>
      <w:proofErr w:type="spellEnd"/>
      <w:r w:rsidR="00CD1960">
        <w:rPr>
          <w:sz w:val="24"/>
          <w:szCs w:val="24"/>
        </w:rPr>
        <w:t xml:space="preserve"> v</w:t>
      </w:r>
      <w:r w:rsidR="009321CE">
        <w:rPr>
          <w:sz w:val="24"/>
          <w:szCs w:val="24"/>
        </w:rPr>
        <w:t>e dvou</w:t>
      </w:r>
      <w:r>
        <w:rPr>
          <w:sz w:val="24"/>
          <w:szCs w:val="24"/>
        </w:rPr>
        <w:t> </w:t>
      </w:r>
      <w:r w:rsidR="00CD1960">
        <w:rPr>
          <w:sz w:val="24"/>
          <w:szCs w:val="24"/>
        </w:rPr>
        <w:t xml:space="preserve">různých </w:t>
      </w:r>
      <w:r w:rsidR="009321CE">
        <w:rPr>
          <w:sz w:val="24"/>
          <w:szCs w:val="24"/>
        </w:rPr>
        <w:t>volebních obdobích</w:t>
      </w:r>
      <w:r w:rsidR="00CD1960">
        <w:rPr>
          <w:sz w:val="24"/>
          <w:szCs w:val="24"/>
        </w:rPr>
        <w:t>.</w:t>
      </w:r>
      <w:r w:rsidR="00F23124">
        <w:rPr>
          <w:rStyle w:val="Znakapoznpodarou"/>
          <w:sz w:val="24"/>
          <w:szCs w:val="24"/>
        </w:rPr>
        <w:footnoteReference w:id="3"/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Projekt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podle JUDr. Dagmar Máchové ve sledovaném období vyčerpal částku 533.447.402 Kč, a nikoli podstatně vyšší částky, které před 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uváděli jiní svědci a na které byla státní zástupkyně členy vyšetřovací komise dotazována. Podle poznatků vyšetřovací komise je reálný objem vynaložených prostředků násobně vyšší a zahrnuje přinejmenším například výdaje Dopravního podniku hlavního města Prahy, který v</w:t>
      </w:r>
      <w:r w:rsidR="009321CE">
        <w:rPr>
          <w:sz w:val="24"/>
          <w:szCs w:val="24"/>
        </w:rPr>
        <w:t> </w:t>
      </w:r>
      <w:r>
        <w:rPr>
          <w:sz w:val="24"/>
          <w:szCs w:val="24"/>
        </w:rPr>
        <w:t xml:space="preserve">době forenzního auditu firmou </w:t>
      </w:r>
      <w:proofErr w:type="spellStart"/>
      <w:r>
        <w:rPr>
          <w:sz w:val="24"/>
          <w:szCs w:val="24"/>
        </w:rPr>
        <w:t>Nexia</w:t>
      </w:r>
      <w:proofErr w:type="spellEnd"/>
      <w:r>
        <w:rPr>
          <w:sz w:val="24"/>
          <w:szCs w:val="24"/>
        </w:rPr>
        <w:t xml:space="preserve"> odmítl předat auditorům účetní doklady, třebaže byly zjištěny neevidované vysoké pohledávky firmy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 xml:space="preserve"> právě vůči DPP. Již trestní oznámení </w:t>
      </w:r>
      <w:r w:rsidR="004F25B9">
        <w:rPr>
          <w:sz w:val="24"/>
          <w:szCs w:val="24"/>
        </w:rPr>
        <w:t>dr. Jany Ryšlinkové</w:t>
      </w:r>
      <w:r w:rsidR="004F25B9">
        <w:rPr>
          <w:sz w:val="24"/>
          <w:szCs w:val="24"/>
        </w:rPr>
        <w:t xml:space="preserve"> </w:t>
      </w:r>
      <w:r>
        <w:rPr>
          <w:sz w:val="24"/>
          <w:szCs w:val="24"/>
        </w:rPr>
        <w:t>adresované přímo státnímu zastupitelství na některé závažné skutečnosti poukazuje jako na samostatný trestný čin.</w:t>
      </w:r>
      <w:r w:rsidR="00AA4BC7">
        <w:rPr>
          <w:rStyle w:val="Znakapoznpodarou"/>
          <w:sz w:val="24"/>
          <w:szCs w:val="24"/>
        </w:rPr>
        <w:footnoteReference w:id="4"/>
      </w:r>
    </w:p>
    <w:p w:rsidR="0062177B" w:rsidRDefault="00CD1960">
      <w:pPr>
        <w:keepLines/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>Mnohaletá stabilita v osobě dozorující státní zástupkyně</w:t>
      </w:r>
      <w:r w:rsidR="009321CE">
        <w:rPr>
          <w:sz w:val="24"/>
          <w:szCs w:val="24"/>
        </w:rPr>
        <w:t xml:space="preserve"> Dr. Máchové</w:t>
      </w:r>
      <w:r>
        <w:rPr>
          <w:sz w:val="24"/>
          <w:szCs w:val="24"/>
        </w:rPr>
        <w:t xml:space="preserve"> i její nadřízené </w:t>
      </w:r>
      <w:r w:rsidR="009321CE">
        <w:rPr>
          <w:sz w:val="24"/>
          <w:szCs w:val="24"/>
        </w:rPr>
        <w:t xml:space="preserve">JUDr. Jany </w:t>
      </w:r>
      <w:proofErr w:type="spellStart"/>
      <w:r w:rsidR="009321CE">
        <w:rPr>
          <w:sz w:val="24"/>
          <w:szCs w:val="24"/>
        </w:rPr>
        <w:t>Hercegové</w:t>
      </w:r>
      <w:proofErr w:type="spellEnd"/>
      <w:r w:rsidR="009321CE">
        <w:rPr>
          <w:sz w:val="24"/>
          <w:szCs w:val="24"/>
        </w:rPr>
        <w:t xml:space="preserve"> </w:t>
      </w:r>
      <w:r>
        <w:rPr>
          <w:sz w:val="24"/>
          <w:szCs w:val="24"/>
        </w:rPr>
        <w:t>se mohla projevit v rozpadu hlavní linie vyšetřování trestního oznámení do dílčích a méně závažných a vzájemně neprovázaných trestných skutků druhořadých spolupachatelů, zatímco hlavní původci možného podvodného plánu zůstali mimo pozornost vyšetřovatelů a státních zástupkyň. Na tuto okolnost veřejně upozornil soud na konci projednávání případu skupiny pracovníků Odboru informatiky MHMP.</w:t>
      </w:r>
      <w:r w:rsidR="00AA4BC7">
        <w:rPr>
          <w:rStyle w:val="Znakapoznpodarou"/>
          <w:sz w:val="24"/>
          <w:szCs w:val="24"/>
        </w:rPr>
        <w:footnoteReference w:id="5"/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Další důkazy, jež PVK zajistila, pravděpodobně ukazují </w:t>
      </w:r>
      <w:proofErr w:type="gramStart"/>
      <w:r>
        <w:rPr>
          <w:sz w:val="24"/>
          <w:szCs w:val="24"/>
        </w:rPr>
        <w:t>na  práci</w:t>
      </w:r>
      <w:proofErr w:type="gramEnd"/>
      <w:r>
        <w:rPr>
          <w:sz w:val="24"/>
          <w:szCs w:val="24"/>
        </w:rPr>
        <w:t xml:space="preserve"> úředníků MHMP. Zda se jedná o neodbornost, nedbalost či dokonce úmysl, to měly již v minulosti posoudit orgány činné v trestním řízení. Dále pak je nutné posoudit, do jaké míry, kdy a za jakým účelem úředník rozhodoval, či konal, a zda jej někdo ovlivňoval, či nikoli.</w:t>
      </w:r>
      <w:r w:rsidR="0004725A">
        <w:rPr>
          <w:rStyle w:val="Znakapoznpodarou"/>
          <w:sz w:val="24"/>
          <w:szCs w:val="24"/>
        </w:rPr>
        <w:footnoteReference w:id="6"/>
      </w:r>
    </w:p>
    <w:p w:rsidR="0062177B" w:rsidRDefault="00CD1960">
      <w:pPr>
        <w:spacing w:after="6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Podle poznatků vyšetřovací komise trestní oznámení </w:t>
      </w:r>
      <w:r w:rsidR="009321CE">
        <w:rPr>
          <w:b/>
          <w:bCs/>
          <w:sz w:val="24"/>
          <w:szCs w:val="24"/>
        </w:rPr>
        <w:t xml:space="preserve">dr. Jany Ryšlinkové </w:t>
      </w:r>
      <w:r w:rsidR="00A2016A">
        <w:rPr>
          <w:b/>
          <w:bCs/>
          <w:sz w:val="24"/>
          <w:szCs w:val="24"/>
        </w:rPr>
        <w:t xml:space="preserve">nebylo </w:t>
      </w:r>
      <w:r>
        <w:rPr>
          <w:b/>
          <w:bCs/>
          <w:sz w:val="24"/>
          <w:szCs w:val="24"/>
        </w:rPr>
        <w:t>posouzeno profesionálně a odborně, policejní orgán se vůbec nezabýval smyslem trestního oznámení, jeho obsahem a uvedeným popsaným podezřením a jevy, zejména ve výše naznačeném podezření na organizované trestné činy skupiny osob.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PVK </w:t>
      </w:r>
      <w:proofErr w:type="spellStart"/>
      <w:r>
        <w:rPr>
          <w:b/>
          <w:bCs/>
          <w:sz w:val="24"/>
          <w:szCs w:val="24"/>
        </w:rPr>
        <w:t>Opencard</w:t>
      </w:r>
      <w:proofErr w:type="spellEnd"/>
      <w:r>
        <w:rPr>
          <w:b/>
          <w:bCs/>
          <w:sz w:val="24"/>
          <w:szCs w:val="24"/>
        </w:rPr>
        <w:t xml:space="preserve"> proto navrhla obnovení šetření těchto jednání a podezření v plném rozsahu a podle trestního oznámení</w:t>
      </w:r>
      <w:r w:rsidR="00276B6F">
        <w:rPr>
          <w:b/>
          <w:bCs/>
          <w:sz w:val="24"/>
          <w:szCs w:val="24"/>
        </w:rPr>
        <w:t xml:space="preserve"> dr. Jany Ryšlinkové</w:t>
      </w:r>
      <w:r>
        <w:rPr>
          <w:b/>
          <w:bCs/>
          <w:sz w:val="24"/>
          <w:szCs w:val="24"/>
        </w:rPr>
        <w:t>, neboť se jedná o vysoce společensky nebezpečné</w:t>
      </w:r>
      <w:r w:rsidR="00276B6F">
        <w:rPr>
          <w:b/>
          <w:bCs/>
          <w:sz w:val="24"/>
          <w:szCs w:val="24"/>
        </w:rPr>
        <w:t xml:space="preserve"> jednání</w:t>
      </w:r>
      <w:r>
        <w:rPr>
          <w:b/>
          <w:bCs/>
          <w:sz w:val="24"/>
          <w:szCs w:val="24"/>
        </w:rPr>
        <w:t>.</w:t>
      </w:r>
    </w:p>
    <w:p w:rsidR="0062177B" w:rsidRDefault="00CD1960" w:rsidP="00F23124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současně zdůraznila, že by realizace vnitřního dohledu měla být provedena jinak a jinými aktéry, než tomu bylo v průběhu </w:t>
      </w:r>
      <w:r w:rsidR="004F25B9">
        <w:rPr>
          <w:sz w:val="24"/>
          <w:szCs w:val="24"/>
        </w:rPr>
        <w:t>celého vyšetřování od roku 2009.</w:t>
      </w:r>
      <w:r>
        <w:rPr>
          <w:sz w:val="24"/>
          <w:szCs w:val="24"/>
        </w:rPr>
        <w:t xml:space="preserve"> </w:t>
      </w:r>
      <w:r w:rsidR="004F25B9">
        <w:rPr>
          <w:sz w:val="24"/>
          <w:szCs w:val="24"/>
        </w:rPr>
        <w:t>Tento názor podporují i</w:t>
      </w:r>
      <w:r>
        <w:rPr>
          <w:sz w:val="24"/>
          <w:szCs w:val="24"/>
        </w:rPr>
        <w:t xml:space="preserve"> odpovědi JUDr. Jany </w:t>
      </w:r>
      <w:proofErr w:type="spellStart"/>
      <w:r>
        <w:rPr>
          <w:sz w:val="24"/>
          <w:szCs w:val="24"/>
        </w:rPr>
        <w:t>Hercegové</w:t>
      </w:r>
      <w:proofErr w:type="spellEnd"/>
      <w:r>
        <w:rPr>
          <w:sz w:val="24"/>
          <w:szCs w:val="24"/>
        </w:rPr>
        <w:t xml:space="preserve"> na dotazy PVK ohledně činnosti JUDr. Dagmar Máchové. Neboť </w:t>
      </w:r>
      <w:r>
        <w:rPr>
          <w:b/>
          <w:bCs/>
          <w:sz w:val="24"/>
          <w:szCs w:val="24"/>
        </w:rPr>
        <w:t xml:space="preserve">jak PVK </w:t>
      </w:r>
      <w:proofErr w:type="spellStart"/>
      <w:r>
        <w:rPr>
          <w:b/>
          <w:bCs/>
          <w:sz w:val="24"/>
          <w:szCs w:val="24"/>
        </w:rPr>
        <w:t>Opencard</w:t>
      </w:r>
      <w:proofErr w:type="spellEnd"/>
      <w:r>
        <w:rPr>
          <w:b/>
          <w:bCs/>
          <w:sz w:val="24"/>
          <w:szCs w:val="24"/>
        </w:rPr>
        <w:t xml:space="preserve">, tak soud ve věci obžalovaný </w:t>
      </w:r>
      <w:proofErr w:type="spellStart"/>
      <w:r>
        <w:rPr>
          <w:b/>
          <w:bCs/>
          <w:sz w:val="24"/>
          <w:szCs w:val="24"/>
        </w:rPr>
        <w:t>Seyček</w:t>
      </w:r>
      <w:proofErr w:type="spellEnd"/>
      <w:r>
        <w:rPr>
          <w:b/>
          <w:bCs/>
          <w:sz w:val="24"/>
          <w:szCs w:val="24"/>
        </w:rPr>
        <w:t xml:space="preserve"> a spol. shodně upozorňují, že vyšetřování a obvinění vznesené JUDr. Dagmar Máchovou zřejmě neodhalilo a nepostihlo skutečné původce a viníky projektu </w:t>
      </w:r>
      <w:proofErr w:type="spellStart"/>
      <w:r>
        <w:rPr>
          <w:b/>
          <w:bCs/>
          <w:sz w:val="24"/>
          <w:szCs w:val="24"/>
        </w:rPr>
        <w:t>Opencard</w:t>
      </w:r>
      <w:proofErr w:type="spellEnd"/>
      <w:r>
        <w:rPr>
          <w:b/>
          <w:bCs/>
          <w:sz w:val="24"/>
          <w:szCs w:val="24"/>
        </w:rPr>
        <w:t xml:space="preserve"> jakožto potenciálně připravovaného a organizovaného podvodu skupiny osob uvnitř právnické osoby</w:t>
      </w:r>
      <w:r w:rsidR="004F25B9">
        <w:rPr>
          <w:b/>
          <w:bCs/>
          <w:sz w:val="24"/>
          <w:szCs w:val="24"/>
        </w:rPr>
        <w:t xml:space="preserve"> </w:t>
      </w:r>
      <w:r w:rsidR="004F25B9">
        <w:rPr>
          <w:sz w:val="24"/>
          <w:szCs w:val="24"/>
        </w:rPr>
        <w:t>(„Obžalovaní rozhodně nebyli hlavními aktéry událostí, ani jejich hlavními hybateli“ – ze závěrečné řeči soudce Alexandera Sotoláře z Městského soudu v Praze)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 je třeba se zamyslet i nad tím, zda obvinění Rady MHMP</w:t>
      </w:r>
      <w:r w:rsidR="004F25B9">
        <w:rPr>
          <w:sz w:val="24"/>
          <w:szCs w:val="24"/>
        </w:rPr>
        <w:t xml:space="preserve"> zvolené v</w:t>
      </w:r>
      <w:r>
        <w:rPr>
          <w:sz w:val="24"/>
          <w:szCs w:val="24"/>
        </w:rPr>
        <w:t xml:space="preserve"> roce 2010, </w:t>
      </w:r>
      <w:r w:rsidR="00751397">
        <w:rPr>
          <w:sz w:val="24"/>
          <w:szCs w:val="24"/>
        </w:rPr>
        <w:t>zpracované rovněž JUDr. Dagmar Máchovou</w:t>
      </w:r>
      <w:r>
        <w:rPr>
          <w:sz w:val="24"/>
          <w:szCs w:val="24"/>
        </w:rPr>
        <w:t>, není přímým důsledkem toho, že se nepodařilo vyšetřit původce pod</w:t>
      </w:r>
      <w:r w:rsidR="00751397">
        <w:rPr>
          <w:sz w:val="24"/>
          <w:szCs w:val="24"/>
        </w:rPr>
        <w:t>vodného jednání před rokem 2010.</w:t>
      </w:r>
      <w:r>
        <w:rPr>
          <w:sz w:val="24"/>
          <w:szCs w:val="24"/>
        </w:rPr>
        <w:t xml:space="preserve"> </w:t>
      </w:r>
      <w:r w:rsidR="00751397">
        <w:rPr>
          <w:sz w:val="24"/>
          <w:szCs w:val="24"/>
        </w:rPr>
        <w:t>D</w:t>
      </w:r>
      <w:r>
        <w:rPr>
          <w:sz w:val="24"/>
          <w:szCs w:val="24"/>
        </w:rPr>
        <w:t xml:space="preserve">ůsledkem </w:t>
      </w:r>
      <w:r w:rsidR="00751397">
        <w:rPr>
          <w:sz w:val="24"/>
          <w:szCs w:val="24"/>
        </w:rPr>
        <w:t xml:space="preserve">tohoto jednání </w:t>
      </w:r>
      <w:r>
        <w:rPr>
          <w:sz w:val="24"/>
          <w:szCs w:val="24"/>
        </w:rPr>
        <w:t>je, že MHMP neměl po roce 2010 ve vlastnictví, a tudíž ani pod kontrolou, autorská práva a licence k</w:t>
      </w:r>
      <w:r w:rsidR="00CD06ED">
        <w:rPr>
          <w:sz w:val="24"/>
          <w:szCs w:val="24"/>
        </w:rPr>
        <w:t> </w:t>
      </w:r>
      <w:r>
        <w:rPr>
          <w:sz w:val="24"/>
          <w:szCs w:val="24"/>
        </w:rPr>
        <w:t xml:space="preserve">projektu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a že Rada MHMP</w:t>
      </w:r>
      <w:r w:rsidR="00751397">
        <w:rPr>
          <w:sz w:val="24"/>
          <w:szCs w:val="24"/>
        </w:rPr>
        <w:t xml:space="preserve"> zvolená v roce 2010 </w:t>
      </w:r>
      <w:r>
        <w:rPr>
          <w:sz w:val="24"/>
          <w:szCs w:val="24"/>
        </w:rPr>
        <w:t xml:space="preserve">byla při rozhodování o pokračování projektu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, na kterém stojí celé předplatné hromadné dopravy v hlavním městě Praze, prakticky rukojmím firem spojených nebo následnických po firmě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>. Jinými slovy, zda obvinění vznesené proti Radě MHMP</w:t>
      </w:r>
      <w:r w:rsidR="00751397">
        <w:rPr>
          <w:sz w:val="24"/>
          <w:szCs w:val="24"/>
        </w:rPr>
        <w:t xml:space="preserve"> zvolené v </w:t>
      </w:r>
      <w:proofErr w:type="gramStart"/>
      <w:r w:rsidR="00751397">
        <w:rPr>
          <w:sz w:val="24"/>
          <w:szCs w:val="24"/>
        </w:rPr>
        <w:t xml:space="preserve">roce </w:t>
      </w:r>
      <w:r>
        <w:rPr>
          <w:sz w:val="24"/>
          <w:szCs w:val="24"/>
        </w:rPr>
        <w:t xml:space="preserve"> 2010</w:t>
      </w:r>
      <w:proofErr w:type="gramEnd"/>
      <w:r>
        <w:rPr>
          <w:sz w:val="24"/>
          <w:szCs w:val="24"/>
        </w:rPr>
        <w:t xml:space="preserve"> vlastně není důsledkem chybného směru vyšetřování případu před rokem 2010, a to ve výše popsaném nerespektování trestního oznámení</w:t>
      </w:r>
      <w:r w:rsidR="00751397">
        <w:rPr>
          <w:sz w:val="24"/>
          <w:szCs w:val="24"/>
        </w:rPr>
        <w:t xml:space="preserve"> dr. Jany Ryšlinkové</w:t>
      </w:r>
      <w:r>
        <w:rPr>
          <w:sz w:val="24"/>
          <w:szCs w:val="24"/>
        </w:rPr>
        <w:t>.</w:t>
      </w:r>
      <w:r w:rsidR="0007703E">
        <w:rPr>
          <w:rStyle w:val="Znakapoznpodarou"/>
          <w:sz w:val="24"/>
          <w:szCs w:val="24"/>
        </w:rPr>
        <w:footnoteReference w:id="7"/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Při výslechu bývalého ředitele odboru informatiky Ing. Václava Krause bylo vyšetřovací komisi jasně sděleno, že předplatné formou karty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bylo realizováno záměrným zrušením všech dalších forem dlouhodobého předplatného tak, aby Pražané neměli jinou alternativu a kartu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kupovat a používat museli. Praha se tudíž do závislosti na firmě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 xml:space="preserve"> dostala vlastním rozhodnutím, rozhodnutím politické reprezentace z období před rokem 2010. A je otázkou, zda tuto odpovědnost žaloba radních po roce 2010, formulovaná JUDr. Dagmar Máchovou, vůbec řeší. Takovýchto příkladů kauzálního zřetězení nevyšetřené a zřejmě trestné činnosti před rokem 2010 s přesahem do období po tomto roce by bylo možné nalézt více. Zřetězení trestné činnosti v důsledku nedostatečného vyšetření a potrestání počátečních a iniciačních skutků proměňuje výkon zastupitelského mandátu v těžko předvídatelný a nebezpečný hazardní krok, kterému se mohou v budoucnu odpovědní občané vědomě vyhýbat. Nedostatečný výkon ve vyšetřování a stíhání trestné činnosti tímto způsobem zjevně deformuje celý demokratický systém a otevřenost volební soutěže z hlediska ochoty občanů kandidovat do zastupitelských orgánů. Nedostatečný výkon spravedlnosti deformuje kvalitu demokracie a veřejné správy země.</w:t>
      </w:r>
      <w:r w:rsidR="00F8330D">
        <w:rPr>
          <w:rStyle w:val="Znakapoznpodarou"/>
          <w:sz w:val="24"/>
          <w:szCs w:val="24"/>
        </w:rPr>
        <w:footnoteReference w:id="8"/>
      </w:r>
    </w:p>
    <w:p w:rsidR="0062177B" w:rsidRPr="00F8330D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b/>
          <w:sz w:val="24"/>
          <w:szCs w:val="24"/>
        </w:rPr>
        <w:t xml:space="preserve">Působení státních zástupců Městského státního zastupitelství v Praze vyvolává nemalé pochybnosti o důslednosti ve vyšetřování trestního oznámení </w:t>
      </w:r>
      <w:r w:rsidR="00751397">
        <w:rPr>
          <w:b/>
          <w:sz w:val="24"/>
          <w:szCs w:val="24"/>
        </w:rPr>
        <w:t xml:space="preserve">dr. Jany Ryšlinkové </w:t>
      </w:r>
      <w:r>
        <w:rPr>
          <w:b/>
          <w:sz w:val="24"/>
          <w:szCs w:val="24"/>
        </w:rPr>
        <w:t>ve snaze potvrdit nebo vyvrátit v něm uvedené skutečnosti a případně v důsledné snaze odhalit a stíhat odpovědné osoby uvnitř právnické osoby MHMP a v úrovni zastupitelstva a Rady.</w:t>
      </w:r>
      <w:r w:rsidR="00F8330D">
        <w:rPr>
          <w:rStyle w:val="Znakapoznpodarou"/>
          <w:b/>
          <w:sz w:val="24"/>
          <w:szCs w:val="24"/>
        </w:rPr>
        <w:footnoteReference w:id="9"/>
      </w:r>
    </w:p>
    <w:p w:rsidR="0062177B" w:rsidRDefault="00531ECA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Zde opět pouze doplňujeme</w:t>
      </w:r>
      <w:r w:rsidR="00CD1960">
        <w:rPr>
          <w:b/>
          <w:sz w:val="24"/>
          <w:szCs w:val="24"/>
        </w:rPr>
        <w:t>, že stíhány by měly být rovněž i ty osoby, které dodnes těží z původních smluv uzavřených trestnou činností.</w:t>
      </w:r>
    </w:p>
    <w:p w:rsidR="0062177B" w:rsidRDefault="0062177B">
      <w:pPr>
        <w:pStyle w:val="Tlotextu"/>
        <w:spacing w:after="60"/>
        <w:ind w:firstLine="709"/>
        <w:jc w:val="both"/>
        <w:rPr>
          <w:sz w:val="24"/>
          <w:szCs w:val="24"/>
        </w:rPr>
      </w:pPr>
    </w:p>
    <w:p w:rsidR="00FC0FA8" w:rsidRDefault="00FC0FA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77B" w:rsidRDefault="0062177B">
      <w:pPr>
        <w:pStyle w:val="Tlotextu"/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pStyle w:val="Tlotextu"/>
        <w:numPr>
          <w:ilvl w:val="0"/>
          <w:numId w:val="3"/>
        </w:numPr>
        <w:tabs>
          <w:tab w:val="left" w:pos="0"/>
        </w:tabs>
        <w:spacing w:after="6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TRESTNÁ ČINNOST ŘEDITELE ODBORU INFORMATIKY</w:t>
      </w:r>
    </w:p>
    <w:p w:rsidR="0062177B" w:rsidRDefault="0062177B">
      <w:pPr>
        <w:pStyle w:val="Tlotextu"/>
        <w:spacing w:after="60"/>
        <w:ind w:firstLine="709"/>
        <w:jc w:val="both"/>
        <w:rPr>
          <w:b/>
          <w:bCs/>
          <w:sz w:val="24"/>
          <w:szCs w:val="24"/>
        </w:rPr>
      </w:pP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jde o rozsudek Vrchního soudu v Praze ve věci </w:t>
      </w:r>
      <w:proofErr w:type="spellStart"/>
      <w:r>
        <w:rPr>
          <w:sz w:val="24"/>
          <w:szCs w:val="24"/>
        </w:rPr>
        <w:t>Seyček</w:t>
      </w:r>
      <w:proofErr w:type="spellEnd"/>
      <w:r>
        <w:rPr>
          <w:sz w:val="24"/>
          <w:szCs w:val="24"/>
        </w:rPr>
        <w:t xml:space="preserve"> a spol. (viz přílohu č. 3), pro účely tohoto dopl</w:t>
      </w:r>
      <w:r w:rsidR="00531ECA">
        <w:rPr>
          <w:sz w:val="24"/>
          <w:szCs w:val="24"/>
        </w:rPr>
        <w:t>nění trestního oznámení považujeme</w:t>
      </w:r>
      <w:r>
        <w:rPr>
          <w:sz w:val="24"/>
          <w:szCs w:val="24"/>
        </w:rPr>
        <w:t xml:space="preserve"> za</w:t>
      </w:r>
      <w:r w:rsidR="00A2016A">
        <w:rPr>
          <w:sz w:val="24"/>
          <w:szCs w:val="24"/>
        </w:rPr>
        <w:t xml:space="preserve"> důležité zejména následující </w:t>
      </w:r>
      <w:r>
        <w:rPr>
          <w:sz w:val="24"/>
          <w:szCs w:val="24"/>
        </w:rPr>
        <w:t>skutečnosti.</w:t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Seyček</w:t>
      </w:r>
      <w:proofErr w:type="spellEnd"/>
      <w:r>
        <w:rPr>
          <w:sz w:val="24"/>
          <w:szCs w:val="24"/>
        </w:rPr>
        <w:t xml:space="preserve"> byl odvolacím soudem shledán vinným, že v pozici ředitele odboru informatiky MHMP, odpovědného za řádná zadávací řízení k veřejným zakázkám v projektu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 cílem opatřit neoprávněné výhody a majetkový prospěch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s.r.o., porušil závažným způsobem pravidla zadávacího řízení</w:t>
      </w:r>
      <w:r>
        <w:rPr>
          <w:sz w:val="24"/>
          <w:szCs w:val="24"/>
        </w:rPr>
        <w:t xml:space="preserve"> stanovená zákonem. </w:t>
      </w:r>
      <w:r>
        <w:rPr>
          <w:b/>
          <w:sz w:val="24"/>
          <w:szCs w:val="24"/>
        </w:rPr>
        <w:t>Ve srozumění se způsobením škody svému zaměstnavateli (MHMP)</w:t>
      </w:r>
      <w:r>
        <w:rPr>
          <w:sz w:val="24"/>
          <w:szCs w:val="24"/>
        </w:rPr>
        <w:t>, jehož majetek byl povinen opatrovat, řádně s ním hospodařit a náležitě ho spravovat, jednal v rozporu s těmito povinnostmi, když konkrétně: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zadávacím řízení k nadlimitní veřejné zakázce pod názvem „Realizace servisního kartového centra“, které bylo zahájeno dne 28. 6. 2006 zadavatelem hl. m. Prahou, </w:t>
      </w:r>
      <w:r>
        <w:rPr>
          <w:b/>
          <w:sz w:val="24"/>
          <w:szCs w:val="24"/>
        </w:rPr>
        <w:t xml:space="preserve">v rozporu s požadavky na transparentnost a rovnost zadávání veřejných zakázek zásadně omezil v zadávací dokumentaci přístup zájemců o danou zakázku k ní stanovením velice krátké doby na předložení a realizaci požadovaného řešení a velmi podrobným vymezením požadavků na jeho parametry, fakticky umožňujícím ucházet se o danou zakázku jen tomu zájemci, který měl požadované řešení již hotové, a jímž byla v podmínkách České republiky společnost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</w:t>
      </w:r>
      <w:r>
        <w:rPr>
          <w:sz w:val="24"/>
          <w:szCs w:val="24"/>
        </w:rPr>
        <w:t>, a následně nezrušil toto zadávací řízení a nechal ho vědomě probíhat v rozporu se zákonem o veřejných zakázkách a v rozporu se smluvně převzatou povinností řádně hospodařit s prostředky svěřenými mu zaměstnavatelem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předpokládanou cenu zakázky neurčil na základě skutečných cen</w:t>
      </w:r>
      <w:r>
        <w:rPr>
          <w:sz w:val="24"/>
          <w:szCs w:val="24"/>
        </w:rPr>
        <w:t xml:space="preserve"> obdobného zboží a služeb, které byly dosaženy na trhu, </w:t>
      </w:r>
      <w:r>
        <w:rPr>
          <w:b/>
          <w:sz w:val="24"/>
          <w:szCs w:val="24"/>
        </w:rPr>
        <w:t xml:space="preserve">přičemž byl srozuměn s tím, že umožní budoucím uchazečům (resp. jedinému uchazeči,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s.r.o.) značně nadhodnotit jejich jednotkovou cenu práce</w:t>
      </w:r>
      <w:r w:rsidR="00531ECA">
        <w:rPr>
          <w:b/>
          <w:sz w:val="24"/>
          <w:szCs w:val="24"/>
        </w:rPr>
        <w:t>;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nestanovil požadavek na vyčíslení provozních nákladů na zajištění provozu Servisního kartového centra (SKC)</w:t>
      </w:r>
      <w:r>
        <w:rPr>
          <w:sz w:val="24"/>
          <w:szCs w:val="24"/>
        </w:rPr>
        <w:t xml:space="preserve">, když dodavatel měl podle zadávací dokumentace zajišťovat jen podporu a údržbu dodaného SKC; takto se zachoval přesto, že výše provozních nákladů byla přímo ovlivněna navrženým řešením a zahrnovala zejména požadavky na prostory, pracovníky, jejich kvalifikaci, role a odpovědnosti, energetické nároky požadovaného řešení, včetně klimatizace a záložních zdrojů, zabezpečovací a protipožární techniky, záložních médií, spotřebního materiálu a licenčních poplatků, přičemž bez vyčíslení předpokládaných provozních nákladů </w:t>
      </w:r>
      <w:r>
        <w:rPr>
          <w:b/>
          <w:sz w:val="24"/>
          <w:szCs w:val="24"/>
        </w:rPr>
        <w:t>nebylo možné objektivně a odpovědně posoudit ekonomickou efektivitu nabízeného řešení</w:t>
      </w:r>
      <w:r>
        <w:rPr>
          <w:sz w:val="24"/>
          <w:szCs w:val="24"/>
        </w:rPr>
        <w:t xml:space="preserve"> a případně ani porovnat efektivitu jednotlivých potencionálních nabídek</w:t>
      </w:r>
      <w:r w:rsidR="00531ECA">
        <w:rPr>
          <w:sz w:val="24"/>
          <w:szCs w:val="24"/>
        </w:rPr>
        <w:t>;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nepamatoval na požadavek zajištění bezpečnosti provozu SKC a nestanovil požadavky na specifikaci způsobu řízení tohoto centra</w:t>
      </w:r>
      <w:r>
        <w:rPr>
          <w:sz w:val="24"/>
          <w:szCs w:val="24"/>
        </w:rPr>
        <w:t xml:space="preserve">, což s sebou neslo riziko úniku citlivých osobních údajů, stejně jako riziko nedostatečné koordinace a nevhodného načasování kroků činěných při uvádění SKC do chodu a při rozvoji celého projektu Pražského Centra Kartových Služeb (PCKS) jako takového a v důsledku toho i </w:t>
      </w:r>
      <w:r>
        <w:rPr>
          <w:b/>
          <w:sz w:val="24"/>
          <w:szCs w:val="24"/>
        </w:rPr>
        <w:t>riziko ekonomické nehospodárnosti</w:t>
      </w:r>
      <w:r>
        <w:rPr>
          <w:sz w:val="24"/>
          <w:szCs w:val="24"/>
        </w:rPr>
        <w:t xml:space="preserve"> takových kroků</w:t>
      </w:r>
      <w:r w:rsidR="00531ECA">
        <w:rPr>
          <w:sz w:val="24"/>
          <w:szCs w:val="24"/>
        </w:rPr>
        <w:t>.</w:t>
      </w:r>
    </w:p>
    <w:p w:rsidR="0062177B" w:rsidRDefault="00FC6881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Shrnuto, </w:t>
      </w:r>
      <w:r w:rsidR="00CD1960">
        <w:rPr>
          <w:sz w:val="24"/>
          <w:szCs w:val="24"/>
        </w:rPr>
        <w:t xml:space="preserve">podle názoru Vrchního soudu v Praze </w:t>
      </w:r>
      <w:r w:rsidRPr="00FC6881">
        <w:rPr>
          <w:sz w:val="24"/>
          <w:szCs w:val="24"/>
        </w:rPr>
        <w:t xml:space="preserve">jde </w:t>
      </w:r>
      <w:r w:rsidR="00CD1960">
        <w:rPr>
          <w:sz w:val="24"/>
          <w:szCs w:val="24"/>
        </w:rPr>
        <w:t xml:space="preserve">o závažné nedostatky v zadávací dokumentaci, snižující možnost řádného posouzení ekonomické výhodnosti učiněných nabídek. Soud Ing. </w:t>
      </w:r>
      <w:proofErr w:type="spellStart"/>
      <w:r w:rsidR="00CD1960">
        <w:rPr>
          <w:sz w:val="24"/>
          <w:szCs w:val="24"/>
        </w:rPr>
        <w:t>Seyčkovi</w:t>
      </w:r>
      <w:proofErr w:type="spellEnd"/>
      <w:r w:rsidR="00CD1960">
        <w:rPr>
          <w:sz w:val="24"/>
          <w:szCs w:val="24"/>
        </w:rPr>
        <w:t xml:space="preserve"> vytknul, že i přes tyto vady dokumentace v zadávacím řízení pokračoval, když: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dne 24. 7. 2006 jmenoval v pozici zadavatele hodnotící komisi, přičemž členem komise jmenoval i sám sebe</w:t>
      </w:r>
    </w:p>
    <w:p w:rsidR="0062177B" w:rsidRDefault="00CD1960" w:rsidP="00366102">
      <w:pPr>
        <w:pStyle w:val="Odstavecseseznamem"/>
        <w:keepLines/>
        <w:numPr>
          <w:ilvl w:val="0"/>
          <w:numId w:val="2"/>
        </w:numPr>
        <w:spacing w:after="60"/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>dne 28. 8. 2006 jako člen hodnotící komise pro otevírání obálek</w:t>
      </w:r>
      <w:r>
        <w:rPr>
          <w:b/>
          <w:sz w:val="24"/>
          <w:szCs w:val="24"/>
        </w:rPr>
        <w:t xml:space="preserve"> při kontrole úplnosti podané nabídky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 tuto nabídku nevyloučil, ačkoliv podrobně znal zadávací podmínky a věděl, že nabídka nesplňuje požadavky na závaznou strukturu ceny</w:t>
      </w:r>
      <w:r>
        <w:rPr>
          <w:sz w:val="24"/>
          <w:szCs w:val="24"/>
        </w:rPr>
        <w:t xml:space="preserve"> (rozdělení na dodávky a služby)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rStyle w:val="Ukotvenpoznmkypodarou"/>
          <w:b/>
          <w:sz w:val="24"/>
          <w:szCs w:val="24"/>
        </w:rPr>
      </w:pPr>
      <w:r>
        <w:rPr>
          <w:sz w:val="24"/>
          <w:szCs w:val="24"/>
        </w:rPr>
        <w:t>dne 5. 9. 2006 na druhém jednání hodnotící komise jako její člen</w:t>
      </w:r>
      <w:r>
        <w:rPr>
          <w:b/>
          <w:sz w:val="24"/>
          <w:szCs w:val="24"/>
        </w:rPr>
        <w:t xml:space="preserve"> nevyřadil nabídku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s.r.o., která nesplňovala zadávací podmínky</w:t>
      </w:r>
      <w:r w:rsidR="00366102" w:rsidRPr="00366102">
        <w:rPr>
          <w:rStyle w:val="Znakapoznpodarou"/>
          <w:sz w:val="24"/>
          <w:szCs w:val="24"/>
        </w:rPr>
        <w:footnoteReference w:id="10"/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doporučil radě Hl. m. Prahy uzavřít s uchazečem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 smlouvu o dílo</w:t>
      </w:r>
      <w:r>
        <w:rPr>
          <w:sz w:val="24"/>
          <w:szCs w:val="24"/>
        </w:rPr>
        <w:t xml:space="preserve"> a své doporučení podložil důvodovou a doporučující zprávou hodnotící komise ze dne 5. 9. 2006, na základě které rada hl. m. Prahy dne 26. 9. 2006 svým usnesením č. 1488 rozhodla o přidělení uvedené nadlimitní veřejné zakázky jedinému uchazeči o ní, tj. společnosti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>, s.r.o.</w:t>
      </w:r>
    </w:p>
    <w:p w:rsidR="0062177B" w:rsidRDefault="00CD1960">
      <w:pPr>
        <w:pStyle w:val="Odstavecseseznamem"/>
        <w:numPr>
          <w:ilvl w:val="0"/>
          <w:numId w:val="2"/>
        </w:numPr>
        <w:spacing w:after="60"/>
        <w:ind w:left="99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 odkazem na rozhodnutí rady hl. m. Prahy o přidělení zakázky </w:t>
      </w:r>
      <w:r>
        <w:rPr>
          <w:b/>
          <w:sz w:val="24"/>
          <w:szCs w:val="24"/>
        </w:rPr>
        <w:t xml:space="preserve">uzavřel jménem hl. m. Prahy se společností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 dne 27. 10. 2006 smlouvu o dílo č. DIL/40/05/001120/2006</w:t>
      </w:r>
      <w:r>
        <w:rPr>
          <w:sz w:val="24"/>
          <w:szCs w:val="24"/>
        </w:rPr>
        <w:t xml:space="preserve">, znějící na celkovou cenu díla 98.104.088 Kč vč. DPH, </w:t>
      </w:r>
      <w:r>
        <w:rPr>
          <w:b/>
          <w:sz w:val="24"/>
          <w:szCs w:val="24"/>
        </w:rPr>
        <w:t>a dne 6. 11. 2006 licenční smlouvu č. LIC/40/05/001128/2006, když v této smlouvě sjednal pro hl. m. Prahu nevýhodné peněžní parametry jednotkové ceny za licenční modul vedoucí k následnému ekonomicky neopodstatněnému nárůstu plateb za licenční položky</w:t>
      </w:r>
    </w:p>
    <w:p w:rsidR="0062177B" w:rsidRDefault="00CD1960">
      <w:pPr>
        <w:spacing w:after="6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proofErr w:type="spellStart"/>
      <w:r>
        <w:rPr>
          <w:b/>
          <w:sz w:val="24"/>
          <w:szCs w:val="24"/>
        </w:rPr>
        <w:t>Seyček</w:t>
      </w:r>
      <w:proofErr w:type="spellEnd"/>
      <w:r>
        <w:rPr>
          <w:b/>
          <w:sz w:val="24"/>
          <w:szCs w:val="24"/>
        </w:rPr>
        <w:t xml:space="preserve"> porušil pravidla daná zákonem o veřejných zakázkách i tím, že nezrušil dané otevřené výběrové řízení, ačkoliv věděl, že nabídka uchazeče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s.r.o. neodpovídá zadávacím podmínkám a </w:t>
      </w:r>
      <w:r w:rsidR="00FC6881">
        <w:rPr>
          <w:b/>
          <w:sz w:val="24"/>
          <w:szCs w:val="24"/>
        </w:rPr>
        <w:t xml:space="preserve">pro Hl. m. Prahu </w:t>
      </w:r>
      <w:r>
        <w:rPr>
          <w:b/>
          <w:sz w:val="24"/>
          <w:szCs w:val="24"/>
        </w:rPr>
        <w:t>je ekonomicky nevýhodná.</w:t>
      </w:r>
      <w:r>
        <w:rPr>
          <w:sz w:val="24"/>
          <w:szCs w:val="24"/>
        </w:rPr>
        <w:t xml:space="preserve"> Ing. </w:t>
      </w:r>
      <w:proofErr w:type="spellStart"/>
      <w:r>
        <w:rPr>
          <w:sz w:val="24"/>
          <w:szCs w:val="24"/>
        </w:rPr>
        <w:t>Seyček</w:t>
      </w:r>
      <w:proofErr w:type="spellEnd"/>
      <w:r>
        <w:rPr>
          <w:sz w:val="24"/>
          <w:szCs w:val="24"/>
        </w:rPr>
        <w:t xml:space="preserve"> tak přispěl k tomu, že </w:t>
      </w:r>
      <w:r>
        <w:rPr>
          <w:b/>
          <w:bCs/>
          <w:sz w:val="24"/>
          <w:szCs w:val="24"/>
        </w:rPr>
        <w:t xml:space="preserve">společnost </w:t>
      </w:r>
      <w:proofErr w:type="spellStart"/>
      <w:r>
        <w:rPr>
          <w:b/>
          <w:bCs/>
          <w:sz w:val="24"/>
          <w:szCs w:val="24"/>
        </w:rPr>
        <w:t>Haguess</w:t>
      </w:r>
      <w:proofErr w:type="spellEnd"/>
      <w:r>
        <w:rPr>
          <w:b/>
          <w:bCs/>
          <w:sz w:val="24"/>
          <w:szCs w:val="24"/>
        </w:rPr>
        <w:t xml:space="preserve"> s.r.o. v uskutečněné veřejné soutěži dosáhla přidělení dané nadlimitní veřejné zakázky o objemu 98.104.088 Kč, ačkoliv se tak daným způsobem nemělo stát.</w:t>
      </w:r>
    </w:p>
    <w:p w:rsidR="0062177B" w:rsidRDefault="00CD1960">
      <w:pPr>
        <w:spacing w:after="6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Podle odvolacího soudu </w:t>
      </w:r>
      <w:r>
        <w:rPr>
          <w:b/>
          <w:sz w:val="24"/>
          <w:szCs w:val="24"/>
        </w:rPr>
        <w:t xml:space="preserve">Ing. </w:t>
      </w:r>
      <w:proofErr w:type="spellStart"/>
      <w:r>
        <w:rPr>
          <w:b/>
          <w:sz w:val="24"/>
          <w:szCs w:val="24"/>
        </w:rPr>
        <w:t>Seyček</w:t>
      </w:r>
      <w:proofErr w:type="spellEnd"/>
      <w:r>
        <w:rPr>
          <w:b/>
          <w:sz w:val="24"/>
          <w:szCs w:val="24"/>
        </w:rPr>
        <w:t xml:space="preserve"> předražením veřejné zakázky „Realizace Servisního kartového centra“ způsobil hl. m. Praze škodu ve výši nejméně 18.245.900 Kč.</w:t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 xml:space="preserve">V odůvodnění rozsudku byl rozebrán </w:t>
      </w:r>
      <w:r>
        <w:rPr>
          <w:b/>
          <w:sz w:val="24"/>
          <w:szCs w:val="24"/>
        </w:rPr>
        <w:t xml:space="preserve">motiv jednání Ing. </w:t>
      </w:r>
      <w:proofErr w:type="spellStart"/>
      <w:r>
        <w:rPr>
          <w:b/>
          <w:sz w:val="24"/>
          <w:szCs w:val="24"/>
        </w:rPr>
        <w:t>Seyčka</w:t>
      </w:r>
      <w:proofErr w:type="spellEnd"/>
      <w:r>
        <w:rPr>
          <w:sz w:val="24"/>
          <w:szCs w:val="24"/>
        </w:rPr>
        <w:t xml:space="preserve">, který „prostupuje celým inkriminovaným skutkem, je pro posouzení jeho viny zásadní okolností a vyplývá z [provedených] důkazů. Konkrétně se jedná o jeho </w:t>
      </w:r>
      <w:r>
        <w:rPr>
          <w:b/>
          <w:sz w:val="24"/>
          <w:szCs w:val="24"/>
        </w:rPr>
        <w:t xml:space="preserve">snahu umožnit realizaci zmíněných veřejných zakázek jednomu dopředu danému subjektu (společnosti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 nikoli vítězi vzešlému z transparentního a nediskriminujícího výběrového řízení jakožto záruky hospodárného, efektivního a účelného nakládání s veřejnými prostředky.“</w:t>
      </w:r>
      <w:r w:rsidR="00387CBA">
        <w:rPr>
          <w:rStyle w:val="Znakapoznpodarou"/>
          <w:sz w:val="24"/>
          <w:szCs w:val="24"/>
        </w:rPr>
        <w:footnoteReference w:id="11"/>
      </w:r>
    </w:p>
    <w:p w:rsidR="0062177B" w:rsidRDefault="00CD1960">
      <w:pPr>
        <w:keepNext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Vrchní soud v Praze pokračuje: „V této souvislosti je třeba zmínit výpověď svědkyně Jaroslavy </w:t>
      </w:r>
      <w:proofErr w:type="spellStart"/>
      <w:r>
        <w:rPr>
          <w:sz w:val="24"/>
          <w:szCs w:val="24"/>
        </w:rPr>
        <w:t>Kebrdlové</w:t>
      </w:r>
      <w:proofErr w:type="spellEnd"/>
      <w:r>
        <w:rPr>
          <w:sz w:val="24"/>
          <w:szCs w:val="24"/>
        </w:rPr>
        <w:t xml:space="preserve">, někdejší referentky odboru informatiky [MHMP] o tom, že </w:t>
      </w:r>
      <w:r>
        <w:rPr>
          <w:b/>
          <w:sz w:val="24"/>
          <w:szCs w:val="24"/>
        </w:rPr>
        <w:t>převzala zadávací dokumentaci k veřejné zakázce „Realizace Servisního kartového centra“ v elektronické podobě e-mailem od Ing. Petra Stránského</w:t>
      </w:r>
      <w:r>
        <w:rPr>
          <w:sz w:val="24"/>
          <w:szCs w:val="24"/>
        </w:rPr>
        <w:t xml:space="preserve"> (který byl dle jeho výpovědi na přelomu let 2006 a 2007 členem koncepční skupiny pilotní fáze projektu Univerzální karty Pražana, následně od r. 2007 manažerem a posléze výkonným ředitelem společnosti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 xml:space="preserve">), a svědka Ing. Davida Dvorského, potvrzující </w:t>
      </w:r>
      <w:r>
        <w:rPr>
          <w:b/>
          <w:sz w:val="24"/>
          <w:szCs w:val="24"/>
        </w:rPr>
        <w:t>zpracování studie k městské kartě</w:t>
      </w:r>
      <w:r>
        <w:rPr>
          <w:sz w:val="24"/>
          <w:szCs w:val="24"/>
        </w:rPr>
        <w:t xml:space="preserve"> na základě objednávky hl. m. Prahy </w:t>
      </w:r>
      <w:r>
        <w:rPr>
          <w:b/>
          <w:sz w:val="24"/>
          <w:szCs w:val="24"/>
        </w:rPr>
        <w:t xml:space="preserve">společností </w:t>
      </w:r>
      <w:proofErr w:type="spellStart"/>
      <w:r>
        <w:rPr>
          <w:b/>
          <w:sz w:val="24"/>
          <w:szCs w:val="24"/>
        </w:rPr>
        <w:t>Iquap</w:t>
      </w:r>
      <w:proofErr w:type="spellEnd"/>
      <w:r>
        <w:rPr>
          <w:b/>
          <w:sz w:val="24"/>
          <w:szCs w:val="24"/>
        </w:rPr>
        <w:t xml:space="preserve">, která si za tím účelem najala dne 20. 3. 2006 zmíněného svědka Ing. Petra Stránského </w:t>
      </w:r>
      <w:r>
        <w:rPr>
          <w:sz w:val="24"/>
          <w:szCs w:val="24"/>
        </w:rPr>
        <w:t xml:space="preserve">…, kdy navíc inkriminovanou </w:t>
      </w:r>
      <w:r>
        <w:rPr>
          <w:b/>
          <w:sz w:val="24"/>
          <w:szCs w:val="24"/>
        </w:rPr>
        <w:t xml:space="preserve">objednávku na tuto studii převzal na MHMP dne 14. 3. 2006 Ing. Jaroslav Turek, jinak též zakladatel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 …</w:t>
      </w:r>
      <w:r>
        <w:rPr>
          <w:sz w:val="24"/>
          <w:szCs w:val="24"/>
        </w:rPr>
        <w:t>“</w:t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Seyček</w:t>
      </w:r>
      <w:proofErr w:type="spellEnd"/>
      <w:r>
        <w:rPr>
          <w:sz w:val="24"/>
          <w:szCs w:val="24"/>
        </w:rPr>
        <w:t xml:space="preserve"> se ve své výpovědi zmínil o tzv. </w:t>
      </w:r>
      <w:r>
        <w:rPr>
          <w:b/>
          <w:sz w:val="24"/>
          <w:szCs w:val="24"/>
        </w:rPr>
        <w:t>malém kartovém centru, které vzniklo na základě smlouvy o dílo č. DIL/40/05/000946/2005 ze dne 6. 12. 2005 a bylo jakýmsi vzorkem, ověřujícím v praxi systém a funkcionalitu velkého servisního kartového centra, na nějž již existovalo politické zadání.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Ohledně projektu „Realizace [velkého] Servisního kartového centra“ Ing. </w:t>
      </w:r>
      <w:proofErr w:type="spellStart"/>
      <w:r>
        <w:rPr>
          <w:b/>
          <w:sz w:val="24"/>
          <w:szCs w:val="24"/>
        </w:rPr>
        <w:t>Seyček</w:t>
      </w:r>
      <w:proofErr w:type="spellEnd"/>
      <w:r>
        <w:rPr>
          <w:b/>
          <w:sz w:val="24"/>
          <w:szCs w:val="24"/>
        </w:rPr>
        <w:t xml:space="preserve"> zmínil, že krátké termíny na jeho uvedení do praxe vyplývající z politického zadání neumožňovaly jeho vývoj od nuly … a bylo možné se pouze poohlédnout po již funkčním řešení</w:t>
      </w:r>
      <w:r>
        <w:rPr>
          <w:sz w:val="24"/>
          <w:szCs w:val="24"/>
        </w:rPr>
        <w:t xml:space="preserve">, které by po modifikaci mohlo sloužit požadovanému účelu; současně kategoricky odmítl, že by zadávací dokumentace byla „šita na míru“ společnosti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>.</w:t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>Vrchní soud v Praze „</w:t>
      </w:r>
      <w:r>
        <w:rPr>
          <w:b/>
          <w:sz w:val="24"/>
          <w:szCs w:val="24"/>
        </w:rPr>
        <w:t xml:space="preserve">neuvěřil tvrzení [Ing. </w:t>
      </w:r>
      <w:proofErr w:type="spellStart"/>
      <w:r>
        <w:rPr>
          <w:b/>
          <w:sz w:val="24"/>
          <w:szCs w:val="24"/>
        </w:rPr>
        <w:t>Seyčka</w:t>
      </w:r>
      <w:proofErr w:type="spellEnd"/>
      <w:r>
        <w:rPr>
          <w:b/>
          <w:sz w:val="24"/>
          <w:szCs w:val="24"/>
        </w:rPr>
        <w:t xml:space="preserve">] o tom, že nezamýšlel dopředu poskytnout veškeré zakázky spojené s Univerzální kartou Pražana výlučně společnosti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, která byla minimálně od roku 2005 (viz realizace tzv. malého kartového centra) nadstandardně propojena s Magistrátem hlavního města Prahy prostřednictvím osoby obžalovaného Ing. Ivana </w:t>
      </w:r>
      <w:proofErr w:type="spellStart"/>
      <w:r>
        <w:rPr>
          <w:b/>
          <w:sz w:val="24"/>
          <w:szCs w:val="24"/>
        </w:rPr>
        <w:t>Seyčka</w:t>
      </w:r>
      <w:proofErr w:type="spellEnd"/>
      <w:r>
        <w:rPr>
          <w:sz w:val="24"/>
          <w:szCs w:val="24"/>
        </w:rPr>
        <w:t>, takže měla k dispozici informace a celkově nesrovnatelně výhodnější podmínky pro realizaci předmětných zakázek než kterýkoli jiný obchodní subjekt obecně.“</w:t>
      </w:r>
      <w:r w:rsidR="004B1450">
        <w:rPr>
          <w:rStyle w:val="Znakapoznpodarou"/>
          <w:sz w:val="24"/>
          <w:szCs w:val="24"/>
        </w:rPr>
        <w:footnoteReference w:id="12"/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jde o škodu způsobenou licenčními poplatky má Vrchní soud v Praze shodně jako městský soud za to, že původní licenční smlouva ze dne 6. 11. 2006 č. LIC/40/05/001128/2006 přímo navazuje a úzce souvisí s licenční smlouvou ze dne 14. 7. 2008 č. LIC 40/01/001613/2008 včetně jejích dvou dodatků. Pouze s ohledem na odvolací námitku obžalovaného Ing. Ivana </w:t>
      </w:r>
      <w:proofErr w:type="spellStart"/>
      <w:r>
        <w:rPr>
          <w:sz w:val="24"/>
          <w:szCs w:val="24"/>
        </w:rPr>
        <w:t>Seyčka</w:t>
      </w:r>
      <w:proofErr w:type="spellEnd"/>
      <w:r>
        <w:rPr>
          <w:sz w:val="24"/>
          <w:szCs w:val="24"/>
        </w:rPr>
        <w:t xml:space="preserve">, že tzv. „nová licenční smlouva“ </w:t>
      </w:r>
      <w:proofErr w:type="gramStart"/>
      <w:r>
        <w:rPr>
          <w:sz w:val="24"/>
          <w:szCs w:val="24"/>
        </w:rPr>
        <w:t>nebyla</w:t>
      </w:r>
      <w:proofErr w:type="gramEnd"/>
      <w:r>
        <w:rPr>
          <w:sz w:val="24"/>
          <w:szCs w:val="24"/>
        </w:rPr>
        <w:t xml:space="preserve"> uzavřena z důvodu nevýhodnosti té původní ze dne 6. 11. 2006 Vrchní soud v Praze </w:t>
      </w:r>
      <w:proofErr w:type="gramStart"/>
      <w:r>
        <w:rPr>
          <w:sz w:val="24"/>
          <w:szCs w:val="24"/>
        </w:rPr>
        <w:t>poznamenává</w:t>
      </w:r>
      <w:proofErr w:type="gramEnd"/>
      <w:r>
        <w:rPr>
          <w:sz w:val="24"/>
          <w:szCs w:val="24"/>
        </w:rPr>
        <w:t xml:space="preserve">, že z obsahu dodatku č. 1 k tzv. nové licenční smlouvě vyplývá geneze smluvních vztahů mezi Magistrátem hlavního města Prahy a společností </w:t>
      </w:r>
      <w:proofErr w:type="spellStart"/>
      <w:r>
        <w:rPr>
          <w:sz w:val="24"/>
          <w:szCs w:val="24"/>
        </w:rPr>
        <w:t>Haguess</w:t>
      </w:r>
      <w:proofErr w:type="spellEnd"/>
      <w:r>
        <w:rPr>
          <w:sz w:val="24"/>
          <w:szCs w:val="24"/>
        </w:rPr>
        <w:t xml:space="preserve"> ohledně licenčních ujednání, které byly motivovány úsporami při dalším rozvoji. Z toho plyne jasný důvod nahrazování původní smlouvy další smlouvu vč. dodatků, kterým bylo ekonomické hledisko.</w:t>
      </w:r>
    </w:p>
    <w:p w:rsidR="0062177B" w:rsidRDefault="00CD1960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jedná o zavinění obžalovaných ve vztahu k základní skutkové podstatě trestného činu porušování povinnosti při správě cizího majetku podle § 255 odst. 1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zák.</w:t>
      </w:r>
      <w:proofErr w:type="gramEnd"/>
      <w:r>
        <w:rPr>
          <w:sz w:val="24"/>
          <w:szCs w:val="24"/>
        </w:rPr>
        <w:t xml:space="preserve">, dospěl Vrchní soud v Praze na základě výsledků provedeného dokazování k závěru, že </w:t>
      </w:r>
      <w:r>
        <w:rPr>
          <w:b/>
          <w:sz w:val="24"/>
          <w:szCs w:val="24"/>
        </w:rPr>
        <w:t>byli vedeni přímým úmyslem, neboť z charakteru jejich jednání vyplývá, že chtěli postupovat ve výroku rozsudku uvedeným způsobem vůči majetkovým právům poškozené. Způsobenou škodu prokázaného rozsahu, tj. způsobení těžšího následku pak pokrývá zavinění nejméně z vědomé nedbalosti, neboť oba obžalovaní věděli, že svým jednáním mohou způsobit naznačenou škodu, ale bez přiměřených důvodů spoléhali, že se tak nestane, neboť od protiprávního jednání neustoupili.</w:t>
      </w:r>
      <w:r>
        <w:rPr>
          <w:sz w:val="24"/>
          <w:szCs w:val="24"/>
        </w:rPr>
        <w:t xml:space="preserve"> </w:t>
      </w:r>
    </w:p>
    <w:p w:rsidR="0062177B" w:rsidRDefault="00CD1960">
      <w:pPr>
        <w:spacing w:after="60"/>
        <w:ind w:firstLine="709"/>
        <w:jc w:val="both"/>
        <w:rPr>
          <w:rStyle w:val="Ukotvenpoznmkypodarou"/>
          <w:sz w:val="24"/>
          <w:szCs w:val="24"/>
        </w:rPr>
      </w:pPr>
      <w:r>
        <w:rPr>
          <w:b/>
          <w:sz w:val="24"/>
          <w:szCs w:val="24"/>
        </w:rPr>
        <w:t xml:space="preserve">U obžalovaného Ing. Ivana </w:t>
      </w:r>
      <w:proofErr w:type="spellStart"/>
      <w:r>
        <w:rPr>
          <w:b/>
          <w:sz w:val="24"/>
          <w:szCs w:val="24"/>
        </w:rPr>
        <w:t>Seyčka</w:t>
      </w:r>
      <w:proofErr w:type="spellEnd"/>
      <w:r>
        <w:rPr>
          <w:b/>
          <w:sz w:val="24"/>
          <w:szCs w:val="24"/>
        </w:rPr>
        <w:t xml:space="preserve"> bylo bez pochyb prokázáno dlouhodobé navázání na společnost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 xml:space="preserve">, jeho autorství inkriminované zadávací dokumentace (resp. „spoluautorství“, neboť se na jejím vzniku podílela společnost </w:t>
      </w:r>
      <w:proofErr w:type="spellStart"/>
      <w:r>
        <w:rPr>
          <w:b/>
          <w:sz w:val="24"/>
          <w:szCs w:val="24"/>
        </w:rPr>
        <w:t>Haguess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, což mu vše ve svém souhrnu poskytovalo nesrovnatelně větší objem informací a v daleko větším časovém předstihu, než měli k dispozici zbývající obžalovaní.</w:t>
      </w:r>
      <w:r w:rsidR="004B1450">
        <w:rPr>
          <w:rStyle w:val="Znakapoznpodarou"/>
          <w:sz w:val="24"/>
          <w:szCs w:val="24"/>
        </w:rPr>
        <w:footnoteReference w:id="13"/>
      </w:r>
    </w:p>
    <w:p w:rsidR="0062177B" w:rsidRDefault="00CD1960">
      <w:pPr>
        <w:spacing w:after="60"/>
        <w:jc w:val="both"/>
        <w:rPr>
          <w:rStyle w:val="Ukotvenpoznmkypodarou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Podle Vrchního soudu v Praze byl Ing. Ivan </w:t>
      </w:r>
      <w:proofErr w:type="spellStart"/>
      <w:r>
        <w:rPr>
          <w:b/>
          <w:bCs/>
          <w:sz w:val="24"/>
          <w:szCs w:val="24"/>
        </w:rPr>
        <w:t>Seyček</w:t>
      </w:r>
      <w:proofErr w:type="spellEnd"/>
      <w:r>
        <w:rPr>
          <w:b/>
          <w:bCs/>
          <w:sz w:val="24"/>
          <w:szCs w:val="24"/>
        </w:rPr>
        <w:t xml:space="preserve"> „osobně zainteresován na tom, aby nabídka </w:t>
      </w:r>
      <w:proofErr w:type="spellStart"/>
      <w:r>
        <w:rPr>
          <w:b/>
          <w:bCs/>
          <w:sz w:val="24"/>
          <w:szCs w:val="24"/>
        </w:rPr>
        <w:t>Haguess</w:t>
      </w:r>
      <w:proofErr w:type="spellEnd"/>
      <w:r>
        <w:rPr>
          <w:b/>
          <w:bCs/>
          <w:sz w:val="24"/>
          <w:szCs w:val="24"/>
        </w:rPr>
        <w:t xml:space="preserve"> byla přijata.“</w:t>
      </w:r>
      <w:r w:rsidR="00F67DD4" w:rsidRPr="00F67DD4">
        <w:rPr>
          <w:rStyle w:val="Znakapoznpodarou"/>
          <w:bCs/>
          <w:sz w:val="24"/>
          <w:szCs w:val="24"/>
        </w:rPr>
        <w:footnoteReference w:id="14"/>
      </w: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Default="0062177B">
      <w:pPr>
        <w:pStyle w:val="Tlotextu"/>
        <w:tabs>
          <w:tab w:val="left" w:pos="0"/>
        </w:tabs>
        <w:spacing w:after="60"/>
        <w:ind w:left="1416"/>
        <w:jc w:val="both"/>
        <w:rPr>
          <w:b/>
          <w:bCs/>
          <w:sz w:val="24"/>
          <w:szCs w:val="24"/>
        </w:rPr>
      </w:pPr>
    </w:p>
    <w:p w:rsidR="0062177B" w:rsidRDefault="00CD1960">
      <w:pPr>
        <w:pStyle w:val="Tlotextu"/>
        <w:numPr>
          <w:ilvl w:val="0"/>
          <w:numId w:val="3"/>
        </w:numPr>
        <w:tabs>
          <w:tab w:val="left" w:pos="0"/>
        </w:tabs>
        <w:spacing w:after="6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INFORMACE</w:t>
      </w:r>
    </w:p>
    <w:p w:rsidR="0062177B" w:rsidRDefault="0062177B">
      <w:pPr>
        <w:pStyle w:val="Tlotextu"/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pStyle w:val="Tlotextu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zástupkyně Máchová před 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uvedla, že žádné důkazy, které by státní zastupitelství potřebovalo, nezmizely. Pokud je to tak, pak nerozumím</w:t>
      </w:r>
      <w:r w:rsidR="00531ECA">
        <w:rPr>
          <w:sz w:val="24"/>
          <w:szCs w:val="24"/>
        </w:rPr>
        <w:t>e</w:t>
      </w:r>
      <w:r>
        <w:rPr>
          <w:sz w:val="24"/>
          <w:szCs w:val="24"/>
        </w:rPr>
        <w:t xml:space="preserve"> tomu, proč byli obžalováni a odsouzeni pouze úředníci magistrátu. </w:t>
      </w:r>
    </w:p>
    <w:p w:rsidR="0062177B" w:rsidRDefault="00CD1960">
      <w:pPr>
        <w:pStyle w:val="Tlotextu"/>
        <w:keepNext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Jestliže odsouzení úředníci zvýhodnili společnost </w:t>
      </w:r>
      <w:proofErr w:type="spellStart"/>
      <w:r>
        <w:rPr>
          <w:sz w:val="24"/>
          <w:szCs w:val="24"/>
          <w:shd w:val="clear" w:color="auto" w:fill="FFFFFF"/>
        </w:rPr>
        <w:t>Haguess</w:t>
      </w:r>
      <w:proofErr w:type="spellEnd"/>
      <w:r>
        <w:rPr>
          <w:sz w:val="24"/>
          <w:szCs w:val="24"/>
          <w:shd w:val="clear" w:color="auto" w:fill="FFFFFF"/>
        </w:rPr>
        <w:t xml:space="preserve">, proč není a nebyl stíhán nikdo z této společnosti, případně přímo tato společnost či její právní nástupkyně </w:t>
      </w:r>
      <w:proofErr w:type="spellStart"/>
      <w:r>
        <w:rPr>
          <w:sz w:val="24"/>
          <w:szCs w:val="24"/>
          <w:shd w:val="clear" w:color="auto" w:fill="FFFFFF"/>
        </w:rPr>
        <w:t>eMoneyServices</w:t>
      </w:r>
      <w:proofErr w:type="spellEnd"/>
      <w:r>
        <w:rPr>
          <w:sz w:val="24"/>
          <w:szCs w:val="24"/>
          <w:shd w:val="clear" w:color="auto" w:fill="FFFFFF"/>
        </w:rPr>
        <w:t xml:space="preserve"> s.r.o.?</w:t>
      </w:r>
      <w:r>
        <w:rPr>
          <w:sz w:val="24"/>
          <w:szCs w:val="24"/>
        </w:rPr>
        <w:t xml:space="preserve"> Jestliže původní smlouva byla uzavřena trestným činem, jak je možné, že za tento nebo související trestný čin nejsou stíháni ti, kteří z něj především (resp. možná j</w:t>
      </w:r>
      <w:r w:rsidR="00531ECA">
        <w:rPr>
          <w:sz w:val="24"/>
          <w:szCs w:val="24"/>
        </w:rPr>
        <w:t>ako jediní) profitují? Domnívali js</w:t>
      </w:r>
      <w:r>
        <w:rPr>
          <w:sz w:val="24"/>
          <w:szCs w:val="24"/>
        </w:rPr>
        <w:t>m</w:t>
      </w:r>
      <w:r w:rsidR="00E46CB4">
        <w:rPr>
          <w:sz w:val="24"/>
          <w:szCs w:val="24"/>
        </w:rPr>
        <w:t>e</w:t>
      </w:r>
      <w:r>
        <w:rPr>
          <w:sz w:val="24"/>
          <w:szCs w:val="24"/>
        </w:rPr>
        <w:t xml:space="preserve"> se, že to mohlo být pro nedostatek důkazů, to ale státní zástupkyně popřela.</w:t>
      </w:r>
    </w:p>
    <w:p w:rsidR="0062177B" w:rsidRDefault="00CD1960">
      <w:pPr>
        <w:pStyle w:val="Tlotextu"/>
        <w:spacing w:after="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Mám</w:t>
      </w:r>
      <w:r w:rsidR="00DB11F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za to, že Vaše státní zastupitelství může jako jediné nezávisle vyšetřit, jaké jsou skutečné důvody stíhání a odsouzení pouze jedné strany transakcí v kauze </w:t>
      </w:r>
      <w:proofErr w:type="spellStart"/>
      <w:r>
        <w:rPr>
          <w:b/>
          <w:sz w:val="24"/>
          <w:szCs w:val="24"/>
        </w:rPr>
        <w:t>Opencard</w:t>
      </w:r>
      <w:proofErr w:type="spellEnd"/>
      <w:r>
        <w:rPr>
          <w:b/>
          <w:sz w:val="24"/>
          <w:szCs w:val="24"/>
        </w:rPr>
        <w:t>, a to ještě té, která měla z trestné činnosti menší prospěch, pokud vůbec nějaký.</w:t>
      </w:r>
    </w:p>
    <w:p w:rsidR="0062177B" w:rsidRDefault="00CD1960">
      <w:pPr>
        <w:pStyle w:val="Tlotextu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Bývalý ředitel magistrátu Martin Trnka před PVK </w:t>
      </w:r>
      <w:proofErr w:type="spellStart"/>
      <w:r>
        <w:rPr>
          <w:sz w:val="24"/>
          <w:szCs w:val="24"/>
        </w:rPr>
        <w:t>Opencard</w:t>
      </w:r>
      <w:proofErr w:type="spellEnd"/>
      <w:r>
        <w:rPr>
          <w:sz w:val="24"/>
          <w:szCs w:val="24"/>
        </w:rPr>
        <w:t xml:space="preserve"> odpověděl na otázku poslance Ivana </w:t>
      </w:r>
      <w:proofErr w:type="spellStart"/>
      <w:r>
        <w:rPr>
          <w:sz w:val="24"/>
          <w:szCs w:val="24"/>
        </w:rPr>
        <w:t>Gabala</w:t>
      </w:r>
      <w:proofErr w:type="spellEnd"/>
      <w:r>
        <w:rPr>
          <w:sz w:val="24"/>
          <w:szCs w:val="24"/>
        </w:rPr>
        <w:t>:</w:t>
      </w:r>
    </w:p>
    <w:p w:rsidR="0062177B" w:rsidRDefault="00CD1960">
      <w:pPr>
        <w:pStyle w:val="Tlotextu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Gabal: Je podle Vás standardní řešení, že </w:t>
      </w:r>
      <w:r w:rsidRPr="00C26D04">
        <w:rPr>
          <w:b/>
          <w:sz w:val="24"/>
          <w:szCs w:val="24"/>
        </w:rPr>
        <w:t xml:space="preserve">pan Stránský a pan Turek připravovali finanční a business plán, následně vstoupili do firmy </w:t>
      </w:r>
      <w:proofErr w:type="spellStart"/>
      <w:r w:rsidRPr="00C26D04">
        <w:rPr>
          <w:b/>
          <w:sz w:val="24"/>
          <w:szCs w:val="24"/>
        </w:rPr>
        <w:t>Haguess</w:t>
      </w:r>
      <w:proofErr w:type="spellEnd"/>
      <w:r w:rsidRPr="00C26D04">
        <w:rPr>
          <w:b/>
          <w:sz w:val="24"/>
          <w:szCs w:val="24"/>
        </w:rPr>
        <w:t xml:space="preserve"> a připravovali smlouvy</w:t>
      </w:r>
      <w:r>
        <w:rPr>
          <w:sz w:val="24"/>
          <w:szCs w:val="24"/>
        </w:rPr>
        <w:t>?</w:t>
      </w:r>
    </w:p>
    <w:p w:rsidR="0062177B" w:rsidRDefault="00CD1960">
      <w:pPr>
        <w:pStyle w:val="Tlotextu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Trnka: Určitě by to bylo úplně špatně.</w:t>
      </w:r>
    </w:p>
    <w:p w:rsidR="0062177B" w:rsidRDefault="00C26D04">
      <w:pPr>
        <w:pStyle w:val="Tlotextu"/>
        <w:spacing w:after="60"/>
        <w:ind w:firstLine="709"/>
        <w:jc w:val="both"/>
        <w:rPr>
          <w:b/>
          <w:sz w:val="24"/>
          <w:szCs w:val="24"/>
        </w:rPr>
      </w:pPr>
      <w:r w:rsidRPr="00434B39">
        <w:rPr>
          <w:sz w:val="24"/>
          <w:szCs w:val="24"/>
        </w:rPr>
        <w:t>Tato výpověď ředitele Trnky potvrzuje</w:t>
      </w:r>
      <w:r w:rsidR="00CD1960" w:rsidRPr="00434B39">
        <w:rPr>
          <w:sz w:val="24"/>
          <w:szCs w:val="24"/>
        </w:rPr>
        <w:t>, že</w:t>
      </w:r>
      <w:r w:rsidR="00CD1960">
        <w:rPr>
          <w:b/>
          <w:sz w:val="24"/>
          <w:szCs w:val="24"/>
        </w:rPr>
        <w:t xml:space="preserve"> v rámci </w:t>
      </w:r>
      <w:r w:rsidR="00434B39">
        <w:rPr>
          <w:b/>
          <w:sz w:val="24"/>
          <w:szCs w:val="24"/>
        </w:rPr>
        <w:t xml:space="preserve">dosavadního </w:t>
      </w:r>
      <w:r w:rsidR="00CD1960">
        <w:rPr>
          <w:b/>
          <w:sz w:val="24"/>
          <w:szCs w:val="24"/>
        </w:rPr>
        <w:t xml:space="preserve">vyšetřování kauzy </w:t>
      </w:r>
      <w:proofErr w:type="spellStart"/>
      <w:r w:rsidR="00CD1960">
        <w:rPr>
          <w:b/>
          <w:sz w:val="24"/>
          <w:szCs w:val="24"/>
        </w:rPr>
        <w:t>Opencard</w:t>
      </w:r>
      <w:proofErr w:type="spellEnd"/>
      <w:r w:rsidR="00CD1960">
        <w:rPr>
          <w:b/>
          <w:sz w:val="24"/>
          <w:szCs w:val="24"/>
        </w:rPr>
        <w:t xml:space="preserve"> dosud nebyla věnována dostatečná pozornost </w:t>
      </w:r>
      <w:r>
        <w:rPr>
          <w:b/>
          <w:sz w:val="24"/>
          <w:szCs w:val="24"/>
        </w:rPr>
        <w:t xml:space="preserve">nejen roli někdejšího politického vedení města, ale ani </w:t>
      </w:r>
      <w:r w:rsidR="00CD1960">
        <w:rPr>
          <w:b/>
          <w:sz w:val="24"/>
          <w:szCs w:val="24"/>
        </w:rPr>
        <w:t xml:space="preserve">roli </w:t>
      </w:r>
      <w:r w:rsidR="00434B39">
        <w:rPr>
          <w:b/>
          <w:sz w:val="24"/>
          <w:szCs w:val="24"/>
        </w:rPr>
        <w:t xml:space="preserve">majitelů a </w:t>
      </w:r>
      <w:r w:rsidR="00CD1960">
        <w:rPr>
          <w:b/>
          <w:sz w:val="24"/>
          <w:szCs w:val="24"/>
        </w:rPr>
        <w:t xml:space="preserve">manažerů firmy </w:t>
      </w:r>
      <w:proofErr w:type="spellStart"/>
      <w:r w:rsidR="00CD1960">
        <w:rPr>
          <w:b/>
          <w:sz w:val="24"/>
          <w:szCs w:val="24"/>
        </w:rPr>
        <w:t>Haguess</w:t>
      </w:r>
      <w:proofErr w:type="spellEnd"/>
      <w:r w:rsidR="00CD1960">
        <w:rPr>
          <w:b/>
          <w:sz w:val="24"/>
          <w:szCs w:val="24"/>
        </w:rPr>
        <w:t>, tedy firmy, která z trestné činnosti úředníků získala největší prospěch.</w:t>
      </w: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Pr="00F23124" w:rsidRDefault="00CD1960" w:rsidP="00F23124">
      <w:pPr>
        <w:keepNext/>
        <w:numPr>
          <w:ilvl w:val="0"/>
          <w:numId w:val="3"/>
        </w:numPr>
        <w:tabs>
          <w:tab w:val="left" w:pos="0"/>
        </w:tabs>
        <w:spacing w:after="60"/>
        <w:ind w:left="0" w:firstLine="709"/>
        <w:jc w:val="both"/>
        <w:rPr>
          <w:b/>
          <w:bCs/>
          <w:sz w:val="24"/>
          <w:szCs w:val="24"/>
        </w:rPr>
      </w:pPr>
      <w:r w:rsidRPr="00F23124">
        <w:rPr>
          <w:b/>
          <w:bCs/>
          <w:sz w:val="24"/>
          <w:szCs w:val="24"/>
        </w:rPr>
        <w:t>ZÁVĚR</w:t>
      </w:r>
    </w:p>
    <w:p w:rsidR="0062177B" w:rsidRDefault="0062177B" w:rsidP="00F23124">
      <w:pPr>
        <w:keepNext/>
        <w:spacing w:after="60"/>
        <w:ind w:firstLine="709"/>
        <w:jc w:val="both"/>
        <w:rPr>
          <w:sz w:val="24"/>
          <w:szCs w:val="24"/>
        </w:rPr>
      </w:pPr>
    </w:p>
    <w:p w:rsidR="0062177B" w:rsidRDefault="00CD1960">
      <w:pPr>
        <w:spacing w:after="6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návaznosti na trestní oznámení</w:t>
      </w:r>
      <w:r w:rsidR="00DB11F2">
        <w:rPr>
          <w:b/>
          <w:bCs/>
          <w:sz w:val="24"/>
          <w:szCs w:val="24"/>
        </w:rPr>
        <w:t xml:space="preserve"> dr. Ryšlinkové</w:t>
      </w:r>
      <w:r>
        <w:rPr>
          <w:b/>
          <w:bCs/>
          <w:sz w:val="24"/>
          <w:szCs w:val="24"/>
        </w:rPr>
        <w:t xml:space="preserve"> z roku 2009 žádám</w:t>
      </w:r>
      <w:r w:rsidR="00DB11F2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o řádné prošetření úlohy členů rady Hl. m. Prahy v letech 2006-2010 v kauze </w:t>
      </w:r>
      <w:proofErr w:type="spellStart"/>
      <w:r>
        <w:rPr>
          <w:b/>
          <w:bCs/>
          <w:sz w:val="24"/>
          <w:szCs w:val="24"/>
        </w:rPr>
        <w:t>Opencard</w:t>
      </w:r>
      <w:proofErr w:type="spellEnd"/>
      <w:r>
        <w:rPr>
          <w:b/>
          <w:bCs/>
          <w:sz w:val="24"/>
          <w:szCs w:val="24"/>
        </w:rPr>
        <w:t xml:space="preserve"> a dále o prošetření úlohy všech právnických i fyzických osob, které měly nebo mají ze smluv projektu </w:t>
      </w:r>
      <w:proofErr w:type="spellStart"/>
      <w:r>
        <w:rPr>
          <w:b/>
          <w:bCs/>
          <w:sz w:val="24"/>
          <w:szCs w:val="24"/>
        </w:rPr>
        <w:t>Opencar</w:t>
      </w:r>
      <w:r w:rsidR="00434B39">
        <w:rPr>
          <w:b/>
          <w:bCs/>
          <w:sz w:val="24"/>
          <w:szCs w:val="24"/>
        </w:rPr>
        <w:t>d</w:t>
      </w:r>
      <w:proofErr w:type="spellEnd"/>
      <w:r w:rsidR="00434B39">
        <w:rPr>
          <w:b/>
          <w:bCs/>
          <w:sz w:val="24"/>
          <w:szCs w:val="24"/>
        </w:rPr>
        <w:t xml:space="preserve"> hospodářský prospěch, včetně </w:t>
      </w:r>
      <w:r>
        <w:rPr>
          <w:b/>
          <w:bCs/>
          <w:sz w:val="24"/>
          <w:szCs w:val="24"/>
        </w:rPr>
        <w:t xml:space="preserve">právních nástupců společnosti </w:t>
      </w:r>
      <w:proofErr w:type="spellStart"/>
      <w:r>
        <w:rPr>
          <w:b/>
          <w:bCs/>
          <w:sz w:val="24"/>
          <w:szCs w:val="24"/>
        </w:rPr>
        <w:t>Haguess</w:t>
      </w:r>
      <w:proofErr w:type="spellEnd"/>
      <w:r w:rsidR="00DB11F2">
        <w:rPr>
          <w:b/>
          <w:bCs/>
          <w:sz w:val="24"/>
          <w:szCs w:val="24"/>
        </w:rPr>
        <w:t xml:space="preserve"> i o prošetření role Městského státního zastupitelství v Praze v dané kauze</w:t>
      </w:r>
      <w:r>
        <w:rPr>
          <w:b/>
          <w:bCs/>
          <w:sz w:val="24"/>
          <w:szCs w:val="24"/>
        </w:rPr>
        <w:t>.</w:t>
      </w:r>
    </w:p>
    <w:p w:rsidR="0062177B" w:rsidRDefault="0062177B">
      <w:pPr>
        <w:spacing w:after="60"/>
        <w:ind w:firstLine="709"/>
        <w:jc w:val="both"/>
        <w:rPr>
          <w:sz w:val="24"/>
          <w:szCs w:val="24"/>
        </w:rPr>
      </w:pPr>
    </w:p>
    <w:p w:rsidR="0062177B" w:rsidRDefault="0062177B">
      <w:pPr>
        <w:spacing w:after="60"/>
        <w:ind w:firstLine="709"/>
        <w:jc w:val="both"/>
      </w:pPr>
    </w:p>
    <w:sectPr w:rsidR="0062177B">
      <w:footerReference w:type="default" r:id="rId8"/>
      <w:pgSz w:w="11906" w:h="16838"/>
      <w:pgMar w:top="1417" w:right="1417" w:bottom="1416" w:left="1417" w:header="0" w:footer="56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D1" w:rsidRDefault="008905D1">
      <w:pPr>
        <w:spacing w:line="240" w:lineRule="auto"/>
      </w:pPr>
      <w:r>
        <w:separator/>
      </w:r>
    </w:p>
  </w:endnote>
  <w:endnote w:type="continuationSeparator" w:id="0">
    <w:p w:rsidR="008905D1" w:rsidRDefault="00890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607482"/>
      <w:docPartObj>
        <w:docPartGallery w:val="Page Numbers (Bottom of Page)"/>
        <w:docPartUnique/>
      </w:docPartObj>
    </w:sdtPr>
    <w:sdtContent>
      <w:p w:rsidR="00DF7B9D" w:rsidRDefault="007E4AA3">
        <w:pPr>
          <w:pStyle w:val="Zpat"/>
        </w:pPr>
        <w:r>
          <w:t xml:space="preserve">Str. </w:t>
        </w:r>
        <w:r w:rsidR="00DF7B9D">
          <w:fldChar w:fldCharType="begin"/>
        </w:r>
        <w:r w:rsidR="00DF7B9D">
          <w:instrText>PAGE   \* MERGEFORMAT</w:instrText>
        </w:r>
        <w:r w:rsidR="00DF7B9D">
          <w:fldChar w:fldCharType="separate"/>
        </w:r>
        <w:r>
          <w:rPr>
            <w:noProof/>
          </w:rPr>
          <w:t>3</w:t>
        </w:r>
        <w:r w:rsidR="00DF7B9D">
          <w:fldChar w:fldCharType="end"/>
        </w:r>
        <w:r>
          <w:t xml:space="preserve"> z 10</w:t>
        </w:r>
        <w:r>
          <w:tab/>
        </w:r>
        <w:r w:rsidRPr="007E4AA3">
          <w:rPr>
            <w:sz w:val="16"/>
          </w:rPr>
          <w:tab/>
          <w:t xml:space="preserve">Doplnění trestního oznámení ve věci </w:t>
        </w:r>
        <w:proofErr w:type="spellStart"/>
        <w:r w:rsidRPr="007E4AA3">
          <w:rPr>
            <w:sz w:val="16"/>
          </w:rPr>
          <w:t>Opencard</w:t>
        </w:r>
        <w:proofErr w:type="spellEnd"/>
        <w:r w:rsidRPr="007E4AA3">
          <w:rPr>
            <w:sz w:val="16"/>
          </w:rPr>
          <w:t xml:space="preserve"> z prosince 2009</w:t>
        </w:r>
      </w:p>
    </w:sdtContent>
  </w:sdt>
  <w:p w:rsidR="0062177B" w:rsidRDefault="00621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D1" w:rsidRDefault="008905D1">
      <w:r>
        <w:separator/>
      </w:r>
    </w:p>
  </w:footnote>
  <w:footnote w:type="continuationSeparator" w:id="0">
    <w:p w:rsidR="008905D1" w:rsidRDefault="008905D1">
      <w:r>
        <w:continuationSeparator/>
      </w:r>
    </w:p>
  </w:footnote>
  <w:footnote w:id="1">
    <w:p w:rsidR="00F23124" w:rsidRDefault="00F23124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F23124">
        <w:t xml:space="preserve">Rozsudek Vrchního soudu v Praze ze dne 17. 12. 2014, </w:t>
      </w:r>
      <w:proofErr w:type="spellStart"/>
      <w:r w:rsidRPr="00F23124">
        <w:t>sp</w:t>
      </w:r>
      <w:proofErr w:type="spellEnd"/>
      <w:r w:rsidRPr="00F23124">
        <w:t>. zn. 5 To 41/2014.</w:t>
      </w:r>
    </w:p>
  </w:footnote>
  <w:footnote w:id="2">
    <w:p w:rsidR="00F23124" w:rsidRDefault="00F23124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F23124">
        <w:t xml:space="preserve">Závěrečná zpráva PVK </w:t>
      </w:r>
      <w:proofErr w:type="spellStart"/>
      <w:r w:rsidRPr="00F23124">
        <w:t>Opencard</w:t>
      </w:r>
      <w:proofErr w:type="spellEnd"/>
      <w:r w:rsidRPr="00F23124">
        <w:t>, s. 4.</w:t>
      </w:r>
    </w:p>
  </w:footnote>
  <w:footnote w:id="3">
    <w:p w:rsidR="00F23124" w:rsidRDefault="00F23124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Tamtéž</w:t>
      </w:r>
      <w:r w:rsidRPr="00F23124">
        <w:t>, s. 5.</w:t>
      </w:r>
    </w:p>
  </w:footnote>
  <w:footnote w:id="4">
    <w:p w:rsidR="00AA4BC7" w:rsidRDefault="00AA4BC7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AA4BC7">
        <w:t xml:space="preserve">Závěrečná zpráva PVK </w:t>
      </w:r>
      <w:proofErr w:type="spellStart"/>
      <w:r w:rsidRPr="00AA4BC7">
        <w:t>Opencard</w:t>
      </w:r>
      <w:proofErr w:type="spellEnd"/>
      <w:r w:rsidRPr="00AA4BC7">
        <w:t>, s. 6.</w:t>
      </w:r>
    </w:p>
  </w:footnote>
  <w:footnote w:id="5">
    <w:p w:rsidR="00AA4BC7" w:rsidRDefault="00AA4BC7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AA4BC7">
        <w:t>Tamtéž, s. 8.</w:t>
      </w:r>
      <w:r w:rsidR="0004725A">
        <w:t xml:space="preserve"> </w:t>
      </w:r>
    </w:p>
  </w:footnote>
  <w:footnote w:id="6">
    <w:p w:rsidR="0004725A" w:rsidRDefault="0004725A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Tamtéž, s. 9.</w:t>
      </w:r>
    </w:p>
  </w:footnote>
  <w:footnote w:id="7">
    <w:p w:rsidR="0007703E" w:rsidRDefault="0007703E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Tamtéž, s. 10.</w:t>
      </w:r>
    </w:p>
  </w:footnote>
  <w:footnote w:id="8">
    <w:p w:rsidR="00F8330D" w:rsidRDefault="00F8330D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F8330D">
        <w:t xml:space="preserve">Závěrečná zpráva PVK </w:t>
      </w:r>
      <w:proofErr w:type="spellStart"/>
      <w:r w:rsidRPr="00F8330D">
        <w:t>Opencard</w:t>
      </w:r>
      <w:proofErr w:type="spellEnd"/>
      <w:r w:rsidRPr="00F8330D">
        <w:t>, s. 10-11.</w:t>
      </w:r>
    </w:p>
  </w:footnote>
  <w:footnote w:id="9">
    <w:p w:rsidR="00F8330D" w:rsidRDefault="00F8330D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Tamtéž</w:t>
      </w:r>
      <w:r w:rsidRPr="00F8330D">
        <w:t xml:space="preserve">, s. </w:t>
      </w:r>
      <w:r>
        <w:t>12.</w:t>
      </w:r>
    </w:p>
  </w:footnote>
  <w:footnote w:id="10">
    <w:p w:rsidR="00366102" w:rsidRDefault="00366102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366102">
        <w:t xml:space="preserve">Podrobněji viz rozsudek Vrchního soudu v Praze ze dne 17. 12. 2014, </w:t>
      </w:r>
      <w:proofErr w:type="spellStart"/>
      <w:r w:rsidRPr="00366102">
        <w:t>sp</w:t>
      </w:r>
      <w:proofErr w:type="spellEnd"/>
      <w:r w:rsidRPr="00366102">
        <w:t>. zn. 5 To 41/2014, s. 4-5.</w:t>
      </w:r>
    </w:p>
  </w:footnote>
  <w:footnote w:id="11">
    <w:p w:rsidR="00387CBA" w:rsidRDefault="00387CBA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Tamtéž, s. 19.</w:t>
      </w:r>
    </w:p>
  </w:footnote>
  <w:footnote w:id="12">
    <w:p w:rsidR="004B1450" w:rsidRDefault="004B1450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4B1450">
        <w:t xml:space="preserve">Rozsudek Vrchního soudu v Praze ze dne 17. 12. 2014, </w:t>
      </w:r>
      <w:proofErr w:type="spellStart"/>
      <w:r w:rsidRPr="004B1450">
        <w:t>sp</w:t>
      </w:r>
      <w:proofErr w:type="spellEnd"/>
      <w:r w:rsidRPr="004B1450">
        <w:t>. zn. 5 To 41/2014, s. 21.</w:t>
      </w:r>
    </w:p>
  </w:footnote>
  <w:footnote w:id="13">
    <w:p w:rsidR="004B1450" w:rsidRDefault="004B1450" w:rsidP="00F67DD4">
      <w:pPr>
        <w:pStyle w:val="Textpoznpodarou"/>
        <w:spacing w:before="120" w:after="120"/>
      </w:pPr>
      <w:r>
        <w:rPr>
          <w:rStyle w:val="Znakapoznpodarou"/>
        </w:rPr>
        <w:footnoteRef/>
      </w:r>
      <w:r>
        <w:t xml:space="preserve"> </w:t>
      </w:r>
      <w:r w:rsidRPr="004B1450">
        <w:t xml:space="preserve">Rozsudek Vrchního soudu v Praze ze dne 17. 12. 2014, </w:t>
      </w:r>
      <w:proofErr w:type="spellStart"/>
      <w:r w:rsidRPr="004B1450">
        <w:t>sp</w:t>
      </w:r>
      <w:proofErr w:type="spellEnd"/>
      <w:r w:rsidRPr="004B1450">
        <w:t>. zn. 5 To 41/2014</w:t>
      </w:r>
      <w:r>
        <w:t>, s. 29.</w:t>
      </w:r>
    </w:p>
  </w:footnote>
  <w:footnote w:id="14">
    <w:p w:rsidR="00F67DD4" w:rsidRDefault="00F67DD4">
      <w:pPr>
        <w:pStyle w:val="Textpoznpodarou"/>
      </w:pPr>
      <w:r>
        <w:rPr>
          <w:rStyle w:val="Znakapoznpodarou"/>
        </w:rPr>
        <w:footnoteRef/>
      </w:r>
      <w:r>
        <w:t xml:space="preserve"> Tamtéž, s.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A25"/>
    <w:multiLevelType w:val="multilevel"/>
    <w:tmpl w:val="29EEE1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DC5737D"/>
    <w:multiLevelType w:val="multilevel"/>
    <w:tmpl w:val="C806109A"/>
    <w:lvl w:ilvl="0">
      <w:start w:val="1"/>
      <w:numFmt w:val="decimal"/>
      <w:pStyle w:val="Nadpis1"/>
      <w:lvlText w:val="ČÁST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614DA4"/>
    <w:multiLevelType w:val="multilevel"/>
    <w:tmpl w:val="8C8AF6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70E367E"/>
    <w:multiLevelType w:val="multilevel"/>
    <w:tmpl w:val="8056E0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B"/>
    <w:rsid w:val="0004725A"/>
    <w:rsid w:val="0007703E"/>
    <w:rsid w:val="00276B6F"/>
    <w:rsid w:val="00335BF9"/>
    <w:rsid w:val="003566AA"/>
    <w:rsid w:val="00366102"/>
    <w:rsid w:val="00387CBA"/>
    <w:rsid w:val="003C0E12"/>
    <w:rsid w:val="003F1082"/>
    <w:rsid w:val="00434B39"/>
    <w:rsid w:val="004B1450"/>
    <w:rsid w:val="004F25B9"/>
    <w:rsid w:val="00531ECA"/>
    <w:rsid w:val="0062177B"/>
    <w:rsid w:val="00691B33"/>
    <w:rsid w:val="00751397"/>
    <w:rsid w:val="00793E79"/>
    <w:rsid w:val="007E4AA3"/>
    <w:rsid w:val="008905D1"/>
    <w:rsid w:val="009321CE"/>
    <w:rsid w:val="00A2016A"/>
    <w:rsid w:val="00AA4BC7"/>
    <w:rsid w:val="00B04299"/>
    <w:rsid w:val="00C26D04"/>
    <w:rsid w:val="00CD06ED"/>
    <w:rsid w:val="00CD1960"/>
    <w:rsid w:val="00DB11F2"/>
    <w:rsid w:val="00DF7B9D"/>
    <w:rsid w:val="00E46CB4"/>
    <w:rsid w:val="00E501D5"/>
    <w:rsid w:val="00F23124"/>
    <w:rsid w:val="00F67DD4"/>
    <w:rsid w:val="00F8330D"/>
    <w:rsid w:val="00FC0FA8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DejaVu Sans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hAnsi="Cambria" w:cs="DejaVu Sans"/>
      <w:b/>
      <w:bCs/>
      <w:color w:val="365F91"/>
      <w:sz w:val="28"/>
      <w:szCs w:val="28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Silnzdraznn">
    <w:name w:val="Silné zdůraznění"/>
    <w:rPr>
      <w:b/>
      <w:b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ZhlavChar">
    <w:name w:val="Záhlaví Char"/>
    <w:basedOn w:val="Standardnpsmoodstavce"/>
    <w:link w:val="Zhlav"/>
    <w:uiPriority w:val="99"/>
    <w:rsid w:val="00144189"/>
  </w:style>
  <w:style w:type="character" w:customStyle="1" w:styleId="ZpatChar">
    <w:name w:val="Zápatí Char"/>
    <w:basedOn w:val="Standardnpsmoodstavce"/>
    <w:link w:val="Zpat"/>
    <w:uiPriority w:val="99"/>
    <w:rsid w:val="00144189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poznpodarou">
    <w:name w:val="footnote text"/>
    <w:basedOn w:val="Normln"/>
    <w:pPr>
      <w:spacing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</w:style>
  <w:style w:type="paragraph" w:styleId="Zhlav">
    <w:name w:val="header"/>
    <w:basedOn w:val="Normln"/>
    <w:link w:val="ZhlavChar"/>
    <w:uiPriority w:val="99"/>
    <w:unhideWhenUsed/>
    <w:rsid w:val="00144189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144189"/>
    <w:pPr>
      <w:tabs>
        <w:tab w:val="center" w:pos="4536"/>
        <w:tab w:val="right" w:pos="9072"/>
      </w:tabs>
      <w:spacing w:line="240" w:lineRule="auto"/>
    </w:p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paragraph" w:styleId="Textbubliny">
    <w:name w:val="Balloon Text"/>
    <w:basedOn w:val="Normln"/>
    <w:link w:val="TextbublinyChar"/>
    <w:uiPriority w:val="99"/>
    <w:semiHidden/>
    <w:unhideWhenUsed/>
    <w:rsid w:val="00F23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DejaVu Sans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hAnsi="Cambria" w:cs="DejaVu Sans"/>
      <w:b/>
      <w:bCs/>
      <w:color w:val="365F91"/>
      <w:sz w:val="28"/>
      <w:szCs w:val="28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Silnzdraznn">
    <w:name w:val="Silné zdůraznění"/>
    <w:rPr>
      <w:b/>
      <w:b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ZhlavChar">
    <w:name w:val="Záhlaví Char"/>
    <w:basedOn w:val="Standardnpsmoodstavce"/>
    <w:link w:val="Zhlav"/>
    <w:uiPriority w:val="99"/>
    <w:rsid w:val="00144189"/>
  </w:style>
  <w:style w:type="character" w:customStyle="1" w:styleId="ZpatChar">
    <w:name w:val="Zápatí Char"/>
    <w:basedOn w:val="Standardnpsmoodstavce"/>
    <w:link w:val="Zpat"/>
    <w:uiPriority w:val="99"/>
    <w:rsid w:val="00144189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poznpodarou">
    <w:name w:val="footnote text"/>
    <w:basedOn w:val="Normln"/>
    <w:pPr>
      <w:spacing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</w:style>
  <w:style w:type="paragraph" w:styleId="Zhlav">
    <w:name w:val="header"/>
    <w:basedOn w:val="Normln"/>
    <w:link w:val="ZhlavChar"/>
    <w:uiPriority w:val="99"/>
    <w:unhideWhenUsed/>
    <w:rsid w:val="00144189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144189"/>
    <w:pPr>
      <w:tabs>
        <w:tab w:val="center" w:pos="4536"/>
        <w:tab w:val="right" w:pos="9072"/>
      </w:tabs>
      <w:spacing w:line="240" w:lineRule="auto"/>
    </w:p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paragraph" w:styleId="Textbubliny">
    <w:name w:val="Balloon Text"/>
    <w:basedOn w:val="Normln"/>
    <w:link w:val="TextbublinyChar"/>
    <w:uiPriority w:val="99"/>
    <w:semiHidden/>
    <w:unhideWhenUsed/>
    <w:rsid w:val="00F23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7"/>
    <w:rsid w:val="001A3D97"/>
    <w:rsid w:val="009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D3AACDB7964D5F96521C5A88363613">
    <w:name w:val="1FD3AACDB7964D5F96521C5A88363613"/>
    <w:rsid w:val="001A3D97"/>
  </w:style>
  <w:style w:type="paragraph" w:customStyle="1" w:styleId="6F3B4B4CB57041DCA1CA008F07048857">
    <w:name w:val="6F3B4B4CB57041DCA1CA008F07048857"/>
    <w:rsid w:val="001A3D97"/>
  </w:style>
  <w:style w:type="paragraph" w:customStyle="1" w:styleId="42FAEA388C1F4389B6F052FF154D524D">
    <w:name w:val="42FAEA388C1F4389B6F052FF154D524D"/>
    <w:rsid w:val="001A3D97"/>
  </w:style>
  <w:style w:type="paragraph" w:customStyle="1" w:styleId="B928E54C38DB4910BE90F169D40BE09C">
    <w:name w:val="B928E54C38DB4910BE90F169D40BE09C"/>
    <w:rsid w:val="001A3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D3AACDB7964D5F96521C5A88363613">
    <w:name w:val="1FD3AACDB7964D5F96521C5A88363613"/>
    <w:rsid w:val="001A3D97"/>
  </w:style>
  <w:style w:type="paragraph" w:customStyle="1" w:styleId="6F3B4B4CB57041DCA1CA008F07048857">
    <w:name w:val="6F3B4B4CB57041DCA1CA008F07048857"/>
    <w:rsid w:val="001A3D97"/>
  </w:style>
  <w:style w:type="paragraph" w:customStyle="1" w:styleId="42FAEA388C1F4389B6F052FF154D524D">
    <w:name w:val="42FAEA388C1F4389B6F052FF154D524D"/>
    <w:rsid w:val="001A3D97"/>
  </w:style>
  <w:style w:type="paragraph" w:customStyle="1" w:styleId="B928E54C38DB4910BE90F169D40BE09C">
    <w:name w:val="B928E54C38DB4910BE90F169D40BE09C"/>
    <w:rsid w:val="001A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Hajný</dc:creator>
  <cp:lastModifiedBy>Jana Ryšlinková</cp:lastModifiedBy>
  <cp:revision>25</cp:revision>
  <cp:lastPrinted>2015-06-12T13:21:00Z</cp:lastPrinted>
  <dcterms:created xsi:type="dcterms:W3CDTF">2015-06-12T13:44:00Z</dcterms:created>
  <dcterms:modified xsi:type="dcterms:W3CDTF">2015-06-12T15:17:00Z</dcterms:modified>
  <dc:language>cs-CZ</dc:language>
</cp:coreProperties>
</file>