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6C" w:rsidRPr="00236F53" w:rsidRDefault="0076646C" w:rsidP="0076646C">
      <w:pPr>
        <w:pStyle w:val="Popisky"/>
        <w:jc w:val="center"/>
        <w:rPr>
          <w:rFonts w:cs="Arial"/>
          <w:b/>
          <w:sz w:val="22"/>
          <w:szCs w:val="22"/>
        </w:rPr>
      </w:pPr>
      <w:r w:rsidRPr="00236F53">
        <w:rPr>
          <w:rFonts w:cs="Arial"/>
          <w:b/>
          <w:caps/>
          <w:sz w:val="22"/>
          <w:szCs w:val="22"/>
        </w:rPr>
        <w:t>Připomínky k materiálu s názvem</w:t>
      </w:r>
      <w:r w:rsidRPr="00236F53">
        <w:rPr>
          <w:rFonts w:cs="Arial"/>
          <w:b/>
          <w:sz w:val="22"/>
          <w:szCs w:val="22"/>
        </w:rPr>
        <w:t>:</w:t>
      </w:r>
    </w:p>
    <w:tbl>
      <w:tblPr>
        <w:tblW w:w="54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9515"/>
        <w:gridCol w:w="4943"/>
      </w:tblGrid>
      <w:tr w:rsidR="00F4253C" w:rsidRPr="003067B6" w:rsidTr="003813E8">
        <w:trPr>
          <w:trHeight w:val="340"/>
        </w:trPr>
        <w:tc>
          <w:tcPr>
            <w:tcW w:w="335" w:type="pct"/>
            <w:vMerge w:val="restart"/>
            <w:tcBorders>
              <w:top w:val="single" w:sz="4" w:space="0" w:color="auto"/>
              <w:left w:val="single" w:sz="4" w:space="0" w:color="auto"/>
              <w:right w:val="single" w:sz="4" w:space="0" w:color="auto"/>
            </w:tcBorders>
          </w:tcPr>
          <w:p w:rsidR="00F4253C" w:rsidRPr="003067B6" w:rsidRDefault="00F4253C" w:rsidP="00F4253C">
            <w:pPr>
              <w:widowControl w:val="0"/>
              <w:autoSpaceDE w:val="0"/>
              <w:autoSpaceDN w:val="0"/>
              <w:adjustRightInd w:val="0"/>
              <w:spacing w:before="120" w:after="120"/>
              <w:jc w:val="both"/>
              <w:rPr>
                <w:rFonts w:ascii="Arial" w:hAnsi="Arial" w:cs="Arial"/>
                <w:b/>
              </w:rPr>
            </w:pPr>
            <w:r w:rsidRPr="003067B6">
              <w:rPr>
                <w:rFonts w:ascii="Arial" w:hAnsi="Arial" w:cs="Arial"/>
                <w:b/>
              </w:rPr>
              <w:t>MF</w:t>
            </w:r>
          </w:p>
          <w:p w:rsidR="00F4253C" w:rsidRPr="003067B6" w:rsidRDefault="00F4253C" w:rsidP="00F4253C">
            <w:pPr>
              <w:widowControl w:val="0"/>
              <w:autoSpaceDE w:val="0"/>
              <w:autoSpaceDN w:val="0"/>
              <w:adjustRightInd w:val="0"/>
              <w:spacing w:before="120" w:after="120"/>
              <w:jc w:val="both"/>
              <w:rPr>
                <w:rFonts w:ascii="Arial" w:hAnsi="Arial" w:cs="Arial"/>
                <w:b/>
              </w:rPr>
            </w:pPr>
          </w:p>
        </w:tc>
        <w:tc>
          <w:tcPr>
            <w:tcW w:w="3070" w:type="pct"/>
            <w:tcBorders>
              <w:top w:val="single" w:sz="4" w:space="0" w:color="auto"/>
              <w:left w:val="single" w:sz="4" w:space="0" w:color="auto"/>
              <w:bottom w:val="single" w:sz="4" w:space="0" w:color="auto"/>
              <w:right w:val="single" w:sz="4" w:space="0" w:color="auto"/>
            </w:tcBorders>
          </w:tcPr>
          <w:p w:rsidR="00F4253C" w:rsidRPr="003067B6" w:rsidRDefault="00F4253C" w:rsidP="00F4253C">
            <w:pPr>
              <w:spacing w:before="60" w:after="60"/>
              <w:ind w:left="33"/>
              <w:jc w:val="both"/>
              <w:rPr>
                <w:rFonts w:ascii="Arial" w:hAnsi="Arial" w:cs="Arial"/>
              </w:rPr>
            </w:pPr>
            <w:r w:rsidRPr="003067B6">
              <w:rPr>
                <w:rFonts w:ascii="Arial" w:hAnsi="Arial" w:cs="Arial"/>
                <w:b/>
              </w:rPr>
              <w:t>Ostatní připomínka - obecně k materiálu:</w:t>
            </w:r>
            <w:r w:rsidRPr="003067B6">
              <w:rPr>
                <w:rFonts w:ascii="Arial" w:hAnsi="Arial" w:cs="Arial"/>
              </w:rPr>
              <w:t xml:space="preserve"> </w:t>
            </w:r>
          </w:p>
          <w:p w:rsidR="00F4253C" w:rsidRPr="003067B6" w:rsidRDefault="00F4253C" w:rsidP="00F4253C">
            <w:pPr>
              <w:spacing w:before="60" w:after="60"/>
              <w:ind w:left="33"/>
              <w:jc w:val="both"/>
              <w:rPr>
                <w:rFonts w:ascii="Arial" w:hAnsi="Arial" w:cs="Arial"/>
                <w:b/>
              </w:rPr>
            </w:pPr>
            <w:r w:rsidRPr="003067B6">
              <w:rPr>
                <w:rFonts w:ascii="Arial" w:hAnsi="Arial" w:cs="Arial"/>
              </w:rPr>
              <w:t xml:space="preserve">Konstatujeme, že materiál sice obsahuje ambiciózní plán, otázkou zůstává, zda je tento plán reálný. </w:t>
            </w:r>
            <w:r w:rsidRPr="009E16AC">
              <w:rPr>
                <w:rFonts w:ascii="Arial" w:hAnsi="Arial" w:cs="Arial"/>
                <w:b/>
                <w:color w:val="FF0000"/>
                <w:highlight w:val="yellow"/>
              </w:rPr>
              <w:t>Materiál neřeší příčiny strukturálních problémů, ale snaží se ministerstva zavázat k realizaci rozsáhlých opatření, přičemž hrozí, že zásadní problémy nebudou řešeny s dostatečnou intenzitou.</w:t>
            </w:r>
            <w:r w:rsidRPr="003067B6">
              <w:rPr>
                <w:rFonts w:ascii="Arial" w:hAnsi="Arial" w:cs="Arial"/>
              </w:rPr>
              <w:t xml:space="preserve"> Zároveň materiál obsahuje i návrhy na opatření, která se týkají všech krajů, nikoliv pouze těch strukturálně postižených (např. bod  F.2.1. – příprava nového zákona o odpadech,  G.1.2. – systémový přístup k plánování služeb souvisejících s kamionovou dopravou apod.). Opatření tohoto charakteru by materiál neměl obsahovat.</w:t>
            </w:r>
          </w:p>
        </w:tc>
        <w:tc>
          <w:tcPr>
            <w:tcW w:w="1595" w:type="pct"/>
            <w:tcBorders>
              <w:top w:val="single" w:sz="4" w:space="0" w:color="auto"/>
              <w:left w:val="single" w:sz="4" w:space="0" w:color="auto"/>
              <w:bottom w:val="single" w:sz="4" w:space="0" w:color="auto"/>
              <w:right w:val="single" w:sz="4" w:space="0" w:color="auto"/>
            </w:tcBorders>
          </w:tcPr>
          <w:p w:rsidR="00F4253C" w:rsidRPr="003067B6" w:rsidRDefault="00F4253C" w:rsidP="00F4253C">
            <w:pPr>
              <w:spacing w:before="60" w:after="60"/>
              <w:jc w:val="both"/>
              <w:rPr>
                <w:rFonts w:ascii="Arial" w:hAnsi="Arial" w:cs="Arial"/>
                <w:bCs/>
              </w:rPr>
            </w:pPr>
            <w:r w:rsidRPr="003067B6">
              <w:rPr>
                <w:rFonts w:ascii="Arial" w:hAnsi="Arial" w:cs="Arial"/>
                <w:b/>
                <w:bCs/>
              </w:rPr>
              <w:t>Neakceptováno</w:t>
            </w:r>
            <w:r w:rsidRPr="003067B6">
              <w:rPr>
                <w:rFonts w:ascii="Arial" w:hAnsi="Arial" w:cs="Arial"/>
                <w:bCs/>
              </w:rPr>
              <w:t xml:space="preserve">, návrh aktualizace Akčního plánu vychází z principů, které jsou definovány v rámci </w:t>
            </w:r>
            <w:r w:rsidRPr="003067B6">
              <w:rPr>
                <w:rFonts w:ascii="Arial" w:hAnsi="Arial" w:cs="Arial"/>
              </w:rPr>
              <w:t>Strategického rámce hospodářské restrukturalizace Ústeckého, Moravskoslezského a Karlovarského kraje a s ním provázaným implementačním a organizačním rámcem, který byl potvrzen obsahem usnesení vlády ČR ze dne 9. ledna 2017 č. 3. Opatření implementovaná v rámci vládou schváleného Souhrnného akčního plánu Strategie restrukturalizace Ústeckého, Moravskoslezského a Karlovarského kraje 2017-2018 se snaží v maximální možné míře řešit nejen závažné následky, ale i příčiny strukturálních problémů všech tří předmětných regionů. Potřeba aktivního přístupu a participace jednotlivých resortů na jejich realizaci je zcela odůvodněná a schopnost řešení konkrétních problémů a jejich příčin je dána mj. právě i mírou tohoto aktivního přístupu. Je pravdou, že některá z navržených opatření (a obdobné lze konstatovat i ve vztahu k některým opatřením implementovaným již na úrovni schváleného Souhrnného akčního plánu) reagují na problémy, se kterými se potýkají nejen strukturálně postižené kraje – avšak právě samotné strukturální postižení a s ním provázané faktory negativní efekty těchto problémů nepříznivým způsobem umocňují a fakticky tak ve svých důsledcích samotné strukturální postižení dále prohlubují a podílejí se na další akceleraci zaostávání těchto regionů.</w:t>
            </w:r>
          </w:p>
        </w:tc>
      </w:tr>
      <w:tr w:rsidR="00770DF3" w:rsidRPr="003067B6" w:rsidTr="003813E8">
        <w:trPr>
          <w:trHeight w:val="340"/>
        </w:trPr>
        <w:tc>
          <w:tcPr>
            <w:tcW w:w="335" w:type="pct"/>
            <w:vMerge/>
            <w:tcBorders>
              <w:left w:val="single" w:sz="4" w:space="0" w:color="auto"/>
              <w:right w:val="single" w:sz="4" w:space="0" w:color="auto"/>
            </w:tcBorders>
          </w:tcPr>
          <w:p w:rsidR="00770DF3" w:rsidRPr="003067B6" w:rsidRDefault="00770DF3" w:rsidP="00770DF3">
            <w:pPr>
              <w:spacing w:before="60" w:after="60"/>
              <w:rPr>
                <w:rFonts w:ascii="Arial" w:hAnsi="Arial" w:cs="Arial"/>
                <w:b/>
                <w:bCs/>
              </w:rPr>
            </w:pPr>
          </w:p>
        </w:tc>
        <w:tc>
          <w:tcPr>
            <w:tcW w:w="3070" w:type="pct"/>
            <w:tcBorders>
              <w:top w:val="single" w:sz="4" w:space="0" w:color="auto"/>
              <w:left w:val="single" w:sz="4" w:space="0" w:color="auto"/>
              <w:bottom w:val="single" w:sz="4" w:space="0" w:color="auto"/>
              <w:right w:val="single" w:sz="4" w:space="0" w:color="auto"/>
            </w:tcBorders>
          </w:tcPr>
          <w:p w:rsidR="00770DF3" w:rsidRPr="003067B6" w:rsidRDefault="00770DF3" w:rsidP="00770DF3">
            <w:pPr>
              <w:spacing w:before="60" w:after="60"/>
              <w:ind w:left="33"/>
              <w:rPr>
                <w:rFonts w:ascii="Arial" w:hAnsi="Arial" w:cs="Arial"/>
                <w:b/>
              </w:rPr>
            </w:pPr>
            <w:r w:rsidRPr="003067B6">
              <w:rPr>
                <w:rFonts w:ascii="Arial" w:hAnsi="Arial" w:cs="Arial"/>
                <w:b/>
              </w:rPr>
              <w:t>Zásadní připomínka – k finančním dopadům:</w:t>
            </w:r>
          </w:p>
          <w:p w:rsidR="00770DF3" w:rsidRPr="003067B6" w:rsidRDefault="00770DF3" w:rsidP="00770DF3">
            <w:pPr>
              <w:autoSpaceDE w:val="0"/>
              <w:autoSpaceDN w:val="0"/>
              <w:adjustRightInd w:val="0"/>
              <w:spacing w:before="120" w:after="120"/>
              <w:jc w:val="both"/>
              <w:rPr>
                <w:rFonts w:ascii="Arial" w:hAnsi="Arial" w:cs="Arial"/>
              </w:rPr>
            </w:pPr>
            <w:r w:rsidRPr="003067B6">
              <w:rPr>
                <w:rFonts w:ascii="Arial" w:hAnsi="Arial" w:cs="Arial"/>
              </w:rPr>
              <w:t xml:space="preserve">Předložený materiál obsahuje množství navržených úkolů, k jejichž realizaci jsou požadovány finanční prostředky, které však nejsou zajištěny ve státním rozpočtu na rok 2018 a nejsou ani obsaženy ve střednědobém výhledu na roky 2019 a 2020. Konkrétně předložený materiál indikuje zvýšené nároky jednotlivých ministerstev na státní rozpočet v roce 2018 o celkem 17,5 mil. Kč, v roce 2019 o celkem 1 990 mil. Kč a v letech 2020 – 2030 o  12 275 mil. Kč. </w:t>
            </w:r>
            <w:r w:rsidRPr="009E16AC">
              <w:rPr>
                <w:rFonts w:ascii="Arial" w:hAnsi="Arial" w:cs="Arial"/>
                <w:b/>
                <w:highlight w:val="yellow"/>
                <w:u w:val="single"/>
              </w:rPr>
              <w:t>Požadujeme, aby si dotčené rezorty uvedené prostředky zajistily v rámci svých schválených výdajových limitů na dané roky.</w:t>
            </w:r>
            <w:r w:rsidRPr="003067B6">
              <w:rPr>
                <w:rFonts w:ascii="Arial" w:hAnsi="Arial" w:cs="Arial"/>
              </w:rPr>
              <w:t xml:space="preserve"> </w:t>
            </w:r>
          </w:p>
          <w:p w:rsidR="00770DF3" w:rsidRPr="003067B6" w:rsidRDefault="00770DF3" w:rsidP="00770DF3">
            <w:pPr>
              <w:autoSpaceDE w:val="0"/>
              <w:autoSpaceDN w:val="0"/>
              <w:adjustRightInd w:val="0"/>
              <w:spacing w:before="120" w:after="120"/>
              <w:jc w:val="both"/>
              <w:rPr>
                <w:rFonts w:ascii="Arial" w:hAnsi="Arial" w:cs="Arial"/>
              </w:rPr>
            </w:pPr>
            <w:r w:rsidRPr="003067B6">
              <w:rPr>
                <w:rFonts w:ascii="Arial" w:hAnsi="Arial" w:cs="Arial"/>
              </w:rPr>
              <w:lastRenderedPageBreak/>
              <w:t>Z toho důvodu také požadujeme, aby relevantní části materiálu pro jednání vlády byly doplněny o konstatování, že realizace Akčního plánu nevyvolá požadavky na zvýšení finančních a personálních limitů stanovených pro dotčené kapitoly státního rozpočtu.</w:t>
            </w:r>
          </w:p>
          <w:p w:rsidR="00770DF3" w:rsidRPr="003067B6" w:rsidRDefault="00770DF3" w:rsidP="00770DF3">
            <w:pPr>
              <w:autoSpaceDE w:val="0"/>
              <w:autoSpaceDN w:val="0"/>
              <w:adjustRightInd w:val="0"/>
              <w:spacing w:before="120" w:after="120"/>
              <w:jc w:val="both"/>
              <w:rPr>
                <w:rFonts w:ascii="Arial" w:hAnsi="Arial" w:cs="Arial"/>
              </w:rPr>
            </w:pPr>
            <w:r w:rsidRPr="003067B6">
              <w:rPr>
                <w:rFonts w:ascii="Arial" w:hAnsi="Arial" w:cs="Arial"/>
              </w:rPr>
              <w:t xml:space="preserve">V roce 2018 si kapitoly musí prostředky zajistit přednostně přesunem prostředků uvnitř svého rozpočtu či použitím nároků z nespotřebovaných výdajů. Podle § 25 odst. 4 zákona č. 218/2000 Sb., rozpočtová pravidla, ve znění pozdějších předpisů, je organizační složka státu povinna zajistit prostředky státního rozpočtu na úhradu nutného výdaje, který nebyl rozpočtován, přednostně přesunem prostředků uvnitř svého rozpočtu. Při předkládání podobných rámcových strategických návrhů je nutné mít na zřeteli, že hospodaření státu se děje na základě schváleného státního rozpočtu, do kterého nelze v průběhu roku libovolně zasahovat a požadovat hrazení nerozpočtovaných výdajů. </w:t>
            </w:r>
          </w:p>
          <w:p w:rsidR="00770DF3" w:rsidRPr="003067B6" w:rsidRDefault="00770DF3" w:rsidP="00770DF3">
            <w:pPr>
              <w:spacing w:before="120" w:after="120"/>
              <w:ind w:left="33"/>
              <w:jc w:val="both"/>
              <w:rPr>
                <w:rFonts w:ascii="Arial" w:hAnsi="Arial" w:cs="Arial"/>
                <w:b/>
              </w:rPr>
            </w:pPr>
            <w:r w:rsidRPr="003067B6">
              <w:rPr>
                <w:rFonts w:ascii="Arial" w:hAnsi="Arial" w:cs="Arial"/>
              </w:rPr>
              <w:t>Co se týče požadavků na roky následující, zde je nutné dodržovat jasně stanovený rozpočtový proces přípravy státního rozpočtu. Předložený materiál v žádném případě nemůže tento rozpočtový proces nahrazovat tím, že si v rámci jednotlivých opatření uplatní úkoly pro ministryni financí, aby zajistila financování konkrétních opatření. Upozorňujeme v tomto případě také na jednací řád vlády, kde je jasně uvedeno, že ministru financí lze jen výjimečně navrhovat uložení obecného úkolu, aby zabezpečil finanční krytí navrženého opatření nebo aby, mimo režim projednávání návrhu státního rozpočtu vládou, promítl finanční krytí do návrhu státního rozpočtu na následující rok.</w:t>
            </w:r>
          </w:p>
        </w:tc>
        <w:tc>
          <w:tcPr>
            <w:tcW w:w="1595" w:type="pct"/>
            <w:tcBorders>
              <w:top w:val="single" w:sz="4" w:space="0" w:color="auto"/>
              <w:left w:val="single" w:sz="4" w:space="0" w:color="auto"/>
              <w:bottom w:val="single" w:sz="4" w:space="0" w:color="auto"/>
              <w:right w:val="single" w:sz="4" w:space="0" w:color="auto"/>
            </w:tcBorders>
          </w:tcPr>
          <w:p w:rsidR="00770DF3" w:rsidRPr="003067B6" w:rsidRDefault="00770DF3" w:rsidP="00770DF3">
            <w:pPr>
              <w:widowControl w:val="0"/>
              <w:autoSpaceDE w:val="0"/>
              <w:autoSpaceDN w:val="0"/>
              <w:adjustRightInd w:val="0"/>
              <w:jc w:val="both"/>
              <w:rPr>
                <w:rFonts w:ascii="Arial" w:hAnsi="Arial" w:cs="Arial"/>
                <w:b/>
              </w:rPr>
            </w:pPr>
            <w:r w:rsidRPr="003067B6">
              <w:rPr>
                <w:rFonts w:ascii="Arial" w:hAnsi="Arial" w:cs="Arial"/>
                <w:b/>
              </w:rPr>
              <w:lastRenderedPageBreak/>
              <w:t>Akceptováno</w:t>
            </w:r>
          </w:p>
          <w:p w:rsidR="00770DF3" w:rsidRPr="003067B6" w:rsidRDefault="00770DF3" w:rsidP="00770DF3">
            <w:pPr>
              <w:widowControl w:val="0"/>
              <w:autoSpaceDE w:val="0"/>
              <w:autoSpaceDN w:val="0"/>
              <w:adjustRightInd w:val="0"/>
              <w:jc w:val="both"/>
              <w:rPr>
                <w:rFonts w:ascii="Arial" w:hAnsi="Arial" w:cs="Arial"/>
              </w:rPr>
            </w:pPr>
          </w:p>
          <w:p w:rsidR="00770DF3" w:rsidRPr="003067B6" w:rsidRDefault="00770DF3" w:rsidP="00770DF3">
            <w:pPr>
              <w:widowControl w:val="0"/>
              <w:autoSpaceDE w:val="0"/>
              <w:autoSpaceDN w:val="0"/>
              <w:adjustRightInd w:val="0"/>
              <w:jc w:val="both"/>
              <w:rPr>
                <w:rFonts w:ascii="Arial" w:hAnsi="Arial" w:cs="Arial"/>
              </w:rPr>
            </w:pPr>
            <w:r w:rsidRPr="003067B6">
              <w:rPr>
                <w:rFonts w:ascii="Arial" w:hAnsi="Arial" w:cs="Arial"/>
              </w:rPr>
              <w:t xml:space="preserve">Předpokládáme, že jednotlivé resorty budou s Ministerstvem financí zajištění prostředků pro financování jednotlivých navržených opatření aktivně projednávat. </w:t>
            </w:r>
          </w:p>
          <w:p w:rsidR="00770DF3" w:rsidRPr="003067B6" w:rsidRDefault="00770DF3" w:rsidP="00770DF3">
            <w:pPr>
              <w:spacing w:before="60" w:after="60"/>
              <w:rPr>
                <w:rFonts w:ascii="Arial" w:hAnsi="Arial" w:cs="Arial"/>
                <w:b/>
                <w:bCs/>
              </w:rPr>
            </w:pPr>
          </w:p>
        </w:tc>
      </w:tr>
      <w:tr w:rsidR="00F4253C" w:rsidRPr="003067B6" w:rsidTr="003813E8">
        <w:trPr>
          <w:trHeight w:val="340"/>
        </w:trPr>
        <w:tc>
          <w:tcPr>
            <w:tcW w:w="335" w:type="pct"/>
            <w:vMerge/>
            <w:tcBorders>
              <w:left w:val="single" w:sz="4" w:space="0" w:color="auto"/>
              <w:right w:val="single" w:sz="4" w:space="0" w:color="auto"/>
            </w:tcBorders>
          </w:tcPr>
          <w:p w:rsidR="00F4253C" w:rsidRPr="003067B6" w:rsidRDefault="00F4253C" w:rsidP="00F4253C">
            <w:pPr>
              <w:spacing w:before="60" w:after="60"/>
              <w:rPr>
                <w:rFonts w:ascii="Arial" w:hAnsi="Arial" w:cs="Arial"/>
                <w:b/>
                <w:bCs/>
              </w:rPr>
            </w:pPr>
          </w:p>
        </w:tc>
        <w:tc>
          <w:tcPr>
            <w:tcW w:w="3070" w:type="pct"/>
            <w:tcBorders>
              <w:top w:val="single" w:sz="4" w:space="0" w:color="auto"/>
              <w:left w:val="single" w:sz="4" w:space="0" w:color="auto"/>
              <w:bottom w:val="single" w:sz="4" w:space="0" w:color="auto"/>
              <w:right w:val="single" w:sz="4" w:space="0" w:color="auto"/>
            </w:tcBorders>
          </w:tcPr>
          <w:p w:rsidR="00F4253C" w:rsidRPr="003067B6" w:rsidRDefault="00F4253C" w:rsidP="00F4253C">
            <w:pPr>
              <w:widowControl w:val="0"/>
              <w:autoSpaceDE w:val="0"/>
              <w:autoSpaceDN w:val="0"/>
              <w:adjustRightInd w:val="0"/>
              <w:spacing w:before="60" w:after="60"/>
              <w:ind w:left="33"/>
              <w:jc w:val="both"/>
              <w:rPr>
                <w:rFonts w:ascii="Arial" w:hAnsi="Arial" w:cs="Arial"/>
                <w:b/>
              </w:rPr>
            </w:pPr>
            <w:r w:rsidRPr="003067B6">
              <w:rPr>
                <w:rFonts w:ascii="Arial" w:hAnsi="Arial" w:cs="Arial"/>
                <w:b/>
              </w:rPr>
              <w:t>Zásadní připomínka – k finančním dopadům:</w:t>
            </w:r>
          </w:p>
          <w:p w:rsidR="00F4253C" w:rsidRPr="003067B6" w:rsidRDefault="00F4253C" w:rsidP="00F4253C">
            <w:pPr>
              <w:widowControl w:val="0"/>
              <w:autoSpaceDE w:val="0"/>
              <w:autoSpaceDN w:val="0"/>
              <w:adjustRightInd w:val="0"/>
              <w:spacing w:before="60" w:after="60"/>
              <w:ind w:left="33"/>
              <w:jc w:val="both"/>
              <w:rPr>
                <w:rFonts w:ascii="Arial" w:hAnsi="Arial" w:cs="Arial"/>
                <w:b/>
              </w:rPr>
            </w:pPr>
            <w:r w:rsidRPr="003067B6">
              <w:rPr>
                <w:rFonts w:ascii="Arial" w:hAnsi="Arial" w:cs="Arial"/>
              </w:rPr>
              <w:t>Podle předkládací zprávy uskutečnění všech opatření v uvedeném rozsahu představuje nárok na finanční prostředky v objemu 20,8 mld. Kč. U řady opatření však není finanční dopad vyčíslen, a tudíž lze předpokládat, že požadavky na jednotlivé kapitoly státního rozpočtu budou výrazně vyšší. Z toho důvodu požadujeme doplnit finanční dopady a příslušný zdroj jejich krytí u opatření B.2.1, C.2.2, D.2.1, E.2.2, E.3.1, E.3.2, F.1.3, F.1.4, G.1.2.</w:t>
            </w:r>
          </w:p>
        </w:tc>
        <w:tc>
          <w:tcPr>
            <w:tcW w:w="1595" w:type="pct"/>
            <w:tcBorders>
              <w:top w:val="single" w:sz="4" w:space="0" w:color="auto"/>
              <w:left w:val="single" w:sz="4" w:space="0" w:color="auto"/>
              <w:bottom w:val="single" w:sz="4" w:space="0" w:color="auto"/>
              <w:right w:val="single" w:sz="4" w:space="0" w:color="auto"/>
            </w:tcBorders>
          </w:tcPr>
          <w:p w:rsidR="00F4253C" w:rsidRPr="003067B6" w:rsidRDefault="00F4253C" w:rsidP="00F4253C">
            <w:pPr>
              <w:widowControl w:val="0"/>
              <w:autoSpaceDE w:val="0"/>
              <w:autoSpaceDN w:val="0"/>
              <w:adjustRightInd w:val="0"/>
              <w:jc w:val="both"/>
              <w:rPr>
                <w:rFonts w:ascii="Arial" w:hAnsi="Arial" w:cs="Arial"/>
                <w:b/>
                <w:bCs/>
              </w:rPr>
            </w:pPr>
            <w:r w:rsidRPr="003067B6">
              <w:rPr>
                <w:rFonts w:ascii="Arial" w:hAnsi="Arial" w:cs="Arial"/>
                <w:b/>
              </w:rPr>
              <w:t>Neakceptováno</w:t>
            </w:r>
            <w:r w:rsidRPr="003067B6">
              <w:rPr>
                <w:rFonts w:ascii="Arial" w:hAnsi="Arial" w:cs="Arial"/>
              </w:rPr>
              <w:t>, charakter těchto opatření neumožňuje v tuto chvíli zpracovat relevantní odhad nákladů, resp. zdrojů potřebných pro jejich budoucí pokrytí – diskuse finanční dimenze má být právě jednou z podstatných složek řešení opatření jako takových. S ohledem na tuto skutečnost není možné tuto zásadní připomínku zohlednit.</w:t>
            </w:r>
          </w:p>
        </w:tc>
      </w:tr>
      <w:tr w:rsidR="00F4253C" w:rsidRPr="003067B6" w:rsidTr="003813E8">
        <w:trPr>
          <w:trHeight w:val="340"/>
        </w:trPr>
        <w:tc>
          <w:tcPr>
            <w:tcW w:w="335" w:type="pct"/>
            <w:vMerge/>
            <w:tcBorders>
              <w:left w:val="single" w:sz="4" w:space="0" w:color="auto"/>
              <w:right w:val="single" w:sz="4" w:space="0" w:color="auto"/>
            </w:tcBorders>
          </w:tcPr>
          <w:p w:rsidR="00F4253C" w:rsidRPr="003067B6" w:rsidRDefault="00F4253C" w:rsidP="00F4253C">
            <w:pPr>
              <w:spacing w:before="60" w:after="60"/>
              <w:rPr>
                <w:rFonts w:ascii="Arial" w:hAnsi="Arial" w:cs="Arial"/>
                <w:b/>
                <w:bCs/>
              </w:rPr>
            </w:pPr>
          </w:p>
        </w:tc>
        <w:tc>
          <w:tcPr>
            <w:tcW w:w="3070" w:type="pct"/>
            <w:tcBorders>
              <w:top w:val="single" w:sz="4" w:space="0" w:color="auto"/>
              <w:left w:val="single" w:sz="4" w:space="0" w:color="auto"/>
              <w:bottom w:val="single" w:sz="4" w:space="0" w:color="auto"/>
              <w:right w:val="single" w:sz="4" w:space="0" w:color="auto"/>
            </w:tcBorders>
          </w:tcPr>
          <w:p w:rsidR="00F4253C" w:rsidRPr="003067B6" w:rsidRDefault="00F4253C" w:rsidP="00F4253C">
            <w:pPr>
              <w:widowControl w:val="0"/>
              <w:autoSpaceDE w:val="0"/>
              <w:autoSpaceDN w:val="0"/>
              <w:adjustRightInd w:val="0"/>
              <w:spacing w:before="60" w:after="60"/>
              <w:ind w:left="33"/>
              <w:jc w:val="both"/>
              <w:rPr>
                <w:rFonts w:ascii="Arial" w:hAnsi="Arial" w:cs="Arial"/>
                <w:b/>
              </w:rPr>
            </w:pPr>
            <w:r w:rsidRPr="003067B6">
              <w:rPr>
                <w:rFonts w:ascii="Arial" w:hAnsi="Arial" w:cs="Arial"/>
                <w:b/>
              </w:rPr>
              <w:t xml:space="preserve">Zásadní připomínka – k finančním dopadům:  </w:t>
            </w:r>
          </w:p>
          <w:p w:rsidR="00F4253C" w:rsidRPr="003067B6" w:rsidRDefault="00F4253C" w:rsidP="00F4253C">
            <w:pPr>
              <w:widowControl w:val="0"/>
              <w:autoSpaceDE w:val="0"/>
              <w:autoSpaceDN w:val="0"/>
              <w:adjustRightInd w:val="0"/>
              <w:spacing w:before="60" w:after="60"/>
              <w:ind w:left="33"/>
              <w:jc w:val="both"/>
              <w:rPr>
                <w:rFonts w:ascii="Arial" w:hAnsi="Arial" w:cs="Arial"/>
              </w:rPr>
            </w:pPr>
            <w:r w:rsidRPr="003067B6">
              <w:rPr>
                <w:rFonts w:ascii="Arial" w:hAnsi="Arial" w:cs="Arial"/>
              </w:rPr>
              <w:t xml:space="preserve">V souvislosti s první zásadní připomínkou sdělujeme, že je nezbytné z materiálu </w:t>
            </w:r>
            <w:r w:rsidRPr="003067B6">
              <w:rPr>
                <w:rFonts w:ascii="Arial" w:hAnsi="Arial" w:cs="Arial"/>
                <w:b/>
                <w:u w:val="single"/>
              </w:rPr>
              <w:t>odstranit úkoly pro ministryni financí</w:t>
            </w:r>
            <w:r w:rsidRPr="003067B6">
              <w:rPr>
                <w:rFonts w:ascii="Arial" w:hAnsi="Arial" w:cs="Arial"/>
              </w:rPr>
              <w:t xml:space="preserve">, kde se ministryni financí ukládá zajistit </w:t>
            </w:r>
            <w:r w:rsidRPr="003067B6">
              <w:rPr>
                <w:rFonts w:ascii="Arial" w:hAnsi="Arial" w:cs="Arial"/>
                <w:iCs/>
              </w:rPr>
              <w:t>financování dotčených opatření</w:t>
            </w:r>
            <w:r w:rsidRPr="003067B6">
              <w:rPr>
                <w:rFonts w:ascii="Arial" w:hAnsi="Arial" w:cs="Arial"/>
              </w:rPr>
              <w:t xml:space="preserve"> (jedná se o úkoly u opatření A.2.1, E.1.1, E.2.1). Veškerá opatření musí být v gesci věcně </w:t>
            </w:r>
            <w:r w:rsidRPr="009E16AC">
              <w:rPr>
                <w:rFonts w:ascii="Arial" w:hAnsi="Arial" w:cs="Arial"/>
                <w:highlight w:val="yellow"/>
              </w:rPr>
              <w:t>příslušného ministerstva</w:t>
            </w:r>
            <w:r w:rsidRPr="003067B6">
              <w:rPr>
                <w:rFonts w:ascii="Arial" w:hAnsi="Arial" w:cs="Arial"/>
              </w:rPr>
              <w:t xml:space="preserve">, které má </w:t>
            </w:r>
            <w:r w:rsidRPr="009E16AC">
              <w:rPr>
                <w:rFonts w:ascii="Arial" w:hAnsi="Arial" w:cs="Arial"/>
                <w:highlight w:val="yellow"/>
              </w:rPr>
              <w:t>zajistit realizaci</w:t>
            </w:r>
            <w:r w:rsidRPr="003067B6">
              <w:rPr>
                <w:rFonts w:ascii="Arial" w:hAnsi="Arial" w:cs="Arial"/>
              </w:rPr>
              <w:t xml:space="preserve"> těchto opatření včetně jejich </w:t>
            </w:r>
            <w:r w:rsidRPr="009E16AC">
              <w:rPr>
                <w:rFonts w:ascii="Arial" w:hAnsi="Arial" w:cs="Arial"/>
                <w:highlight w:val="yellow"/>
              </w:rPr>
              <w:t>finančního zajištění</w:t>
            </w:r>
            <w:r w:rsidRPr="003067B6">
              <w:rPr>
                <w:rFonts w:ascii="Arial" w:hAnsi="Arial" w:cs="Arial"/>
              </w:rPr>
              <w:t xml:space="preserve">. V případě nedostatku prostředků pro realizaci příslušného opatření musí gestor postupovat v souladu s jasně stanoveným rozpočtovým procesem a o finanční prostředky zažádat při přípravě státního rozpočtu na příslušný rok. Akceptace tohoto požadavku následně záleží na hospodaření dotčené kapitoly, na aktuálních možnostech státního rozpočtu a samozřejmě také na prioritách vlády ČR. </w:t>
            </w:r>
          </w:p>
          <w:p w:rsidR="00F4253C" w:rsidRPr="003067B6" w:rsidRDefault="00F4253C" w:rsidP="00F4253C">
            <w:pPr>
              <w:widowControl w:val="0"/>
              <w:autoSpaceDE w:val="0"/>
              <w:autoSpaceDN w:val="0"/>
              <w:adjustRightInd w:val="0"/>
              <w:spacing w:before="60" w:after="60"/>
              <w:ind w:left="33"/>
              <w:jc w:val="both"/>
              <w:rPr>
                <w:rFonts w:ascii="Arial" w:hAnsi="Arial" w:cs="Arial"/>
              </w:rPr>
            </w:pPr>
          </w:p>
        </w:tc>
        <w:tc>
          <w:tcPr>
            <w:tcW w:w="1595" w:type="pct"/>
            <w:tcBorders>
              <w:top w:val="single" w:sz="4" w:space="0" w:color="auto"/>
              <w:left w:val="single" w:sz="4" w:space="0" w:color="auto"/>
              <w:bottom w:val="single" w:sz="4" w:space="0" w:color="auto"/>
              <w:right w:val="single" w:sz="4" w:space="0" w:color="auto"/>
            </w:tcBorders>
          </w:tcPr>
          <w:p w:rsidR="00DF67A9" w:rsidRPr="003067B6" w:rsidRDefault="00F4253C" w:rsidP="00DF67A9">
            <w:pPr>
              <w:widowControl w:val="0"/>
              <w:autoSpaceDE w:val="0"/>
              <w:autoSpaceDN w:val="0"/>
              <w:adjustRightInd w:val="0"/>
              <w:spacing w:before="60" w:after="60"/>
              <w:ind w:left="33"/>
              <w:jc w:val="both"/>
              <w:rPr>
                <w:rFonts w:ascii="Arial" w:hAnsi="Arial" w:cs="Arial"/>
                <w:b/>
                <w:bCs/>
              </w:rPr>
            </w:pPr>
            <w:r w:rsidRPr="003067B6">
              <w:rPr>
                <w:rFonts w:ascii="Arial" w:hAnsi="Arial" w:cs="Arial"/>
                <w:b/>
              </w:rPr>
              <w:t>Akceptováno</w:t>
            </w:r>
            <w:r w:rsidRPr="003067B6">
              <w:rPr>
                <w:rFonts w:ascii="Arial" w:hAnsi="Arial" w:cs="Arial"/>
              </w:rPr>
              <w:t>,</w:t>
            </w:r>
            <w:r w:rsidR="00DF67A9" w:rsidRPr="003067B6">
              <w:rPr>
                <w:rFonts w:ascii="Arial" w:hAnsi="Arial" w:cs="Arial"/>
              </w:rPr>
              <w:t xml:space="preserve"> z uvedené úkoly byly odstraněny.</w:t>
            </w:r>
          </w:p>
          <w:p w:rsidR="00F4253C" w:rsidRPr="003067B6" w:rsidRDefault="00F4253C" w:rsidP="00F4253C">
            <w:pPr>
              <w:spacing w:before="60" w:after="60"/>
              <w:jc w:val="both"/>
              <w:rPr>
                <w:rFonts w:ascii="Arial" w:hAnsi="Arial" w:cs="Arial"/>
                <w:b/>
                <w:bCs/>
              </w:rPr>
            </w:pPr>
          </w:p>
        </w:tc>
      </w:tr>
      <w:tr w:rsidR="00F4253C" w:rsidRPr="003067B6" w:rsidTr="003813E8">
        <w:trPr>
          <w:trHeight w:val="340"/>
        </w:trPr>
        <w:tc>
          <w:tcPr>
            <w:tcW w:w="335" w:type="pct"/>
            <w:vMerge/>
            <w:tcBorders>
              <w:left w:val="single" w:sz="4" w:space="0" w:color="auto"/>
              <w:right w:val="single" w:sz="4" w:space="0" w:color="auto"/>
            </w:tcBorders>
          </w:tcPr>
          <w:p w:rsidR="00F4253C" w:rsidRPr="003067B6" w:rsidRDefault="00F4253C" w:rsidP="00F4253C">
            <w:pPr>
              <w:spacing w:before="60" w:after="60"/>
              <w:rPr>
                <w:rFonts w:ascii="Arial" w:hAnsi="Arial" w:cs="Arial"/>
                <w:b/>
                <w:bCs/>
              </w:rPr>
            </w:pPr>
          </w:p>
        </w:tc>
        <w:tc>
          <w:tcPr>
            <w:tcW w:w="3070" w:type="pct"/>
            <w:tcBorders>
              <w:top w:val="single" w:sz="4" w:space="0" w:color="auto"/>
              <w:left w:val="single" w:sz="4" w:space="0" w:color="auto"/>
              <w:bottom w:val="single" w:sz="4" w:space="0" w:color="auto"/>
              <w:right w:val="single" w:sz="4" w:space="0" w:color="auto"/>
            </w:tcBorders>
          </w:tcPr>
          <w:p w:rsidR="00F4253C" w:rsidRPr="003067B6" w:rsidRDefault="00F4253C" w:rsidP="00F4253C">
            <w:pPr>
              <w:widowControl w:val="0"/>
              <w:autoSpaceDE w:val="0"/>
              <w:autoSpaceDN w:val="0"/>
              <w:adjustRightInd w:val="0"/>
              <w:spacing w:before="60" w:after="60"/>
              <w:ind w:left="33"/>
              <w:jc w:val="both"/>
              <w:rPr>
                <w:rFonts w:ascii="Arial" w:hAnsi="Arial" w:cs="Arial"/>
                <w:b/>
              </w:rPr>
            </w:pPr>
            <w:r w:rsidRPr="003067B6">
              <w:rPr>
                <w:rFonts w:ascii="Arial" w:hAnsi="Arial" w:cs="Arial"/>
                <w:b/>
              </w:rPr>
              <w:t>Zásadní připomínka – k opatření A.2.1</w:t>
            </w:r>
          </w:p>
          <w:p w:rsidR="00F4253C" w:rsidRPr="003067B6" w:rsidRDefault="00F4253C" w:rsidP="00F4253C">
            <w:pPr>
              <w:widowControl w:val="0"/>
              <w:autoSpaceDE w:val="0"/>
              <w:autoSpaceDN w:val="0"/>
              <w:adjustRightInd w:val="0"/>
              <w:spacing w:before="60" w:after="60"/>
              <w:ind w:left="33"/>
              <w:jc w:val="both"/>
              <w:rPr>
                <w:rFonts w:ascii="Arial" w:hAnsi="Arial" w:cs="Arial"/>
              </w:rPr>
            </w:pPr>
            <w:r w:rsidRPr="003067B6">
              <w:rPr>
                <w:rFonts w:ascii="Arial" w:hAnsi="Arial" w:cs="Arial"/>
              </w:rPr>
              <w:t xml:space="preserve">Požadujeme, aby dané opatření bylo zajištěno v rámci výdajů kapitoly MMR a v rámci stávajících </w:t>
            </w:r>
            <w:r w:rsidRPr="003067B6">
              <w:rPr>
                <w:rFonts w:ascii="Arial" w:hAnsi="Arial" w:cs="Arial"/>
              </w:rPr>
              <w:lastRenderedPageBreak/>
              <w:t>personálních limitů. Z toho důvodu požadujeme vypustit úkol b) pro ministryni pro místní rozvoj navýšit systemizaci MMR o 3 místa.</w:t>
            </w:r>
          </w:p>
          <w:p w:rsidR="00F4253C" w:rsidRPr="003067B6" w:rsidRDefault="00F4253C" w:rsidP="00F4253C">
            <w:pPr>
              <w:widowControl w:val="0"/>
              <w:autoSpaceDE w:val="0"/>
              <w:autoSpaceDN w:val="0"/>
              <w:adjustRightInd w:val="0"/>
              <w:spacing w:before="60" w:after="60"/>
              <w:ind w:left="33"/>
              <w:jc w:val="both"/>
              <w:rPr>
                <w:rFonts w:ascii="Arial" w:hAnsi="Arial" w:cs="Arial"/>
              </w:rPr>
            </w:pPr>
            <w:r w:rsidRPr="003067B6">
              <w:rPr>
                <w:rFonts w:ascii="Arial" w:hAnsi="Arial" w:cs="Arial"/>
              </w:rPr>
              <w:t>Obecně ovšem neshledáváme důvod pro vznik speciálního podporgramu, aktéři z krajů mohou žádat o finanční prostředky v rámci stávajícího programu „Podpory cestovního ruchu v regionech“, domníváme se, že nový podprogram je nad rámec možností rozpočtu kapitoly.</w:t>
            </w:r>
          </w:p>
          <w:p w:rsidR="003067B6" w:rsidRPr="003067B6" w:rsidRDefault="003067B6" w:rsidP="00F4253C">
            <w:pPr>
              <w:widowControl w:val="0"/>
              <w:autoSpaceDE w:val="0"/>
              <w:autoSpaceDN w:val="0"/>
              <w:adjustRightInd w:val="0"/>
              <w:spacing w:before="60" w:after="60"/>
              <w:ind w:left="33"/>
              <w:jc w:val="both"/>
              <w:rPr>
                <w:rFonts w:ascii="Arial" w:hAnsi="Arial" w:cs="Arial"/>
              </w:rPr>
            </w:pPr>
          </w:p>
          <w:p w:rsidR="003067B6" w:rsidRPr="003067B6" w:rsidRDefault="003067B6" w:rsidP="00F4253C">
            <w:pPr>
              <w:widowControl w:val="0"/>
              <w:autoSpaceDE w:val="0"/>
              <w:autoSpaceDN w:val="0"/>
              <w:adjustRightInd w:val="0"/>
              <w:spacing w:before="60" w:after="60"/>
              <w:ind w:left="33"/>
              <w:jc w:val="both"/>
              <w:rPr>
                <w:rFonts w:ascii="Arial" w:hAnsi="Arial" w:cs="Arial"/>
              </w:rPr>
            </w:pPr>
          </w:p>
          <w:p w:rsidR="003067B6" w:rsidRPr="003067B6" w:rsidRDefault="003067B6" w:rsidP="00F4253C">
            <w:pPr>
              <w:widowControl w:val="0"/>
              <w:autoSpaceDE w:val="0"/>
              <w:autoSpaceDN w:val="0"/>
              <w:adjustRightInd w:val="0"/>
              <w:spacing w:before="60" w:after="60"/>
              <w:ind w:left="33"/>
              <w:jc w:val="both"/>
              <w:rPr>
                <w:rFonts w:ascii="Arial" w:hAnsi="Arial" w:cs="Arial"/>
              </w:rPr>
            </w:pPr>
          </w:p>
          <w:p w:rsidR="003067B6" w:rsidRPr="003067B6" w:rsidRDefault="003067B6" w:rsidP="00F4253C">
            <w:pPr>
              <w:widowControl w:val="0"/>
              <w:autoSpaceDE w:val="0"/>
              <w:autoSpaceDN w:val="0"/>
              <w:adjustRightInd w:val="0"/>
              <w:spacing w:before="60" w:after="60"/>
              <w:ind w:left="33"/>
              <w:jc w:val="both"/>
              <w:rPr>
                <w:rFonts w:ascii="Arial" w:hAnsi="Arial" w:cs="Arial"/>
              </w:rPr>
            </w:pPr>
          </w:p>
        </w:tc>
        <w:tc>
          <w:tcPr>
            <w:tcW w:w="1595" w:type="pct"/>
            <w:tcBorders>
              <w:top w:val="single" w:sz="4" w:space="0" w:color="auto"/>
              <w:left w:val="single" w:sz="4" w:space="0" w:color="auto"/>
              <w:bottom w:val="single" w:sz="4" w:space="0" w:color="auto"/>
              <w:right w:val="single" w:sz="4" w:space="0" w:color="auto"/>
            </w:tcBorders>
          </w:tcPr>
          <w:p w:rsidR="00F4253C" w:rsidRPr="003067B6" w:rsidRDefault="00F4253C" w:rsidP="00F4253C">
            <w:pPr>
              <w:spacing w:before="60" w:after="60"/>
              <w:jc w:val="both"/>
              <w:rPr>
                <w:rFonts w:ascii="Arial" w:hAnsi="Arial" w:cs="Arial"/>
                <w:b/>
                <w:bCs/>
              </w:rPr>
            </w:pPr>
            <w:r w:rsidRPr="003067B6">
              <w:rPr>
                <w:rFonts w:ascii="Arial" w:hAnsi="Arial" w:cs="Arial"/>
                <w:b/>
              </w:rPr>
              <w:lastRenderedPageBreak/>
              <w:t xml:space="preserve">Neakceptováno, </w:t>
            </w:r>
            <w:r w:rsidRPr="003067B6">
              <w:rPr>
                <w:rFonts w:ascii="Arial" w:hAnsi="Arial" w:cs="Arial"/>
              </w:rPr>
              <w:t xml:space="preserve">nový podprogram / program se má zaměřit na charakter aktivit, které stávající podoba </w:t>
            </w:r>
            <w:r w:rsidRPr="003067B6">
              <w:rPr>
                <w:rFonts w:ascii="Arial" w:hAnsi="Arial" w:cs="Arial"/>
              </w:rPr>
              <w:lastRenderedPageBreak/>
              <w:t>Národního programu Podpora cestovního ruchu v regionech neumožňuje. Potřeba navýšení systemizace pracovních míst vychází z navrhovaného rozšíření podporovaných aktivit i předpokládaného finančního posílení podprogramu / program a stávající personální vytíženosti odboru cestovního ruchu. Bez navýšení počtu systemizovaných míst není reálné faktické zajištění naplnění tohoto opatření.</w:t>
            </w:r>
          </w:p>
        </w:tc>
      </w:tr>
    </w:tbl>
    <w:p w:rsidR="0076646C" w:rsidRPr="00236F53" w:rsidRDefault="0076646C" w:rsidP="00313C22">
      <w:pPr>
        <w:autoSpaceDE w:val="0"/>
        <w:autoSpaceDN w:val="0"/>
        <w:adjustRightInd w:val="0"/>
        <w:rPr>
          <w:rFonts w:ascii="Arial" w:hAnsi="Arial" w:cs="Arial"/>
        </w:rPr>
      </w:pPr>
    </w:p>
    <w:sectPr w:rsidR="0076646C" w:rsidRPr="00236F53" w:rsidSect="00730B62">
      <w:footerReference w:type="default" r:id="rId8"/>
      <w:pgSz w:w="16840" w:h="11907" w:orient="landscape" w:code="9"/>
      <w:pgMar w:top="1417" w:right="1417" w:bottom="1417" w:left="1417" w:header="709" w:footer="62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10" w:rsidRDefault="008A7D10">
      <w:r>
        <w:separator/>
      </w:r>
    </w:p>
  </w:endnote>
  <w:endnote w:type="continuationSeparator" w:id="0">
    <w:p w:rsidR="008A7D10" w:rsidRDefault="008A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051373"/>
      <w:docPartObj>
        <w:docPartGallery w:val="Page Numbers (Bottom of Page)"/>
        <w:docPartUnique/>
      </w:docPartObj>
    </w:sdtPr>
    <w:sdtContent>
      <w:sdt>
        <w:sdtPr>
          <w:id w:val="-1769616900"/>
          <w:docPartObj>
            <w:docPartGallery w:val="Page Numbers (Top of Page)"/>
            <w:docPartUnique/>
          </w:docPartObj>
        </w:sdtPr>
        <w:sdtContent>
          <w:p w:rsidR="009E16AC" w:rsidRDefault="00D901C5">
            <w:pPr>
              <w:pStyle w:val="Zpat"/>
              <w:jc w:val="right"/>
            </w:pPr>
            <w:r>
              <w:rPr>
                <w:b/>
                <w:bCs/>
                <w:sz w:val="24"/>
                <w:szCs w:val="24"/>
              </w:rPr>
              <w:fldChar w:fldCharType="begin"/>
            </w:r>
            <w:r w:rsidR="009E16AC">
              <w:rPr>
                <w:b/>
                <w:bCs/>
              </w:rPr>
              <w:instrText>PAGE</w:instrText>
            </w:r>
            <w:r>
              <w:rPr>
                <w:b/>
                <w:bCs/>
                <w:sz w:val="24"/>
                <w:szCs w:val="24"/>
              </w:rPr>
              <w:fldChar w:fldCharType="separate"/>
            </w:r>
            <w:r w:rsidR="0047128F">
              <w:rPr>
                <w:b/>
                <w:bCs/>
                <w:noProof/>
              </w:rPr>
              <w:t>2</w:t>
            </w:r>
            <w:r>
              <w:rPr>
                <w:b/>
                <w:bCs/>
                <w:sz w:val="24"/>
                <w:szCs w:val="24"/>
              </w:rPr>
              <w:fldChar w:fldCharType="end"/>
            </w:r>
            <w:r w:rsidR="009E16AC">
              <w:t xml:space="preserve"> / </w:t>
            </w:r>
            <w:r>
              <w:rPr>
                <w:b/>
                <w:bCs/>
                <w:sz w:val="24"/>
                <w:szCs w:val="24"/>
              </w:rPr>
              <w:fldChar w:fldCharType="begin"/>
            </w:r>
            <w:r w:rsidR="009E16AC">
              <w:rPr>
                <w:b/>
                <w:bCs/>
              </w:rPr>
              <w:instrText>NUMPAGES</w:instrText>
            </w:r>
            <w:r>
              <w:rPr>
                <w:b/>
                <w:bCs/>
                <w:sz w:val="24"/>
                <w:szCs w:val="24"/>
              </w:rPr>
              <w:fldChar w:fldCharType="separate"/>
            </w:r>
            <w:r w:rsidR="0047128F">
              <w:rPr>
                <w:b/>
                <w:bCs/>
                <w:noProof/>
              </w:rPr>
              <w:t>3</w:t>
            </w:r>
            <w:r>
              <w:rPr>
                <w:b/>
                <w:bCs/>
                <w:sz w:val="24"/>
                <w:szCs w:val="24"/>
              </w:rPr>
              <w:fldChar w:fldCharType="end"/>
            </w:r>
          </w:p>
        </w:sdtContent>
      </w:sdt>
    </w:sdtContent>
  </w:sdt>
  <w:p w:rsidR="009E16AC" w:rsidRDefault="009E16A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10" w:rsidRDefault="008A7D10">
      <w:r>
        <w:separator/>
      </w:r>
    </w:p>
  </w:footnote>
  <w:footnote w:type="continuationSeparator" w:id="0">
    <w:p w:rsidR="008A7D10" w:rsidRDefault="008A7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0BA"/>
    <w:multiLevelType w:val="hybridMultilevel"/>
    <w:tmpl w:val="4544A4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1DF6872"/>
    <w:multiLevelType w:val="hybridMultilevel"/>
    <w:tmpl w:val="41BE9FEC"/>
    <w:lvl w:ilvl="0" w:tplc="ABDC8A58">
      <w:start w:val="1"/>
      <w:numFmt w:val="decimal"/>
      <w:pStyle w:val="Bezmezer"/>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1DE3863"/>
    <w:multiLevelType w:val="multilevel"/>
    <w:tmpl w:val="C158010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3829CF"/>
    <w:multiLevelType w:val="hybridMultilevel"/>
    <w:tmpl w:val="5BD693F0"/>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5C43CF"/>
    <w:multiLevelType w:val="hybridMultilevel"/>
    <w:tmpl w:val="821E5940"/>
    <w:lvl w:ilvl="0" w:tplc="709C689C">
      <w:start w:val="1"/>
      <w:numFmt w:val="bullet"/>
      <w:lvlText w:val=""/>
      <w:lvlJc w:val="left"/>
      <w:pPr>
        <w:ind w:left="753" w:hanging="360"/>
      </w:pPr>
      <w:rPr>
        <w:rFonts w:ascii="Symbol" w:hAnsi="Symbol" w:hint="default"/>
        <w:color w:val="auto"/>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5">
    <w:nsid w:val="1B670689"/>
    <w:multiLevelType w:val="hybridMultilevel"/>
    <w:tmpl w:val="93D49AEE"/>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1B60CA"/>
    <w:multiLevelType w:val="hybridMultilevel"/>
    <w:tmpl w:val="D37CC5B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ED44F3"/>
    <w:multiLevelType w:val="hybridMultilevel"/>
    <w:tmpl w:val="E6C6BB86"/>
    <w:lvl w:ilvl="0" w:tplc="07FA7A2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54343B5"/>
    <w:multiLevelType w:val="hybridMultilevel"/>
    <w:tmpl w:val="74B235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F04EB1"/>
    <w:multiLevelType w:val="hybridMultilevel"/>
    <w:tmpl w:val="3BA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B5EC1"/>
    <w:multiLevelType w:val="hybridMultilevel"/>
    <w:tmpl w:val="9C80805A"/>
    <w:lvl w:ilvl="0" w:tplc="99ACD78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3046E70"/>
    <w:multiLevelType w:val="hybridMultilevel"/>
    <w:tmpl w:val="2918F42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4401B6"/>
    <w:multiLevelType w:val="hybridMultilevel"/>
    <w:tmpl w:val="3A786916"/>
    <w:lvl w:ilvl="0" w:tplc="ACB410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127DE6"/>
    <w:multiLevelType w:val="hybridMultilevel"/>
    <w:tmpl w:val="5E463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94E2BA4"/>
    <w:multiLevelType w:val="hybridMultilevel"/>
    <w:tmpl w:val="F628DF1A"/>
    <w:lvl w:ilvl="0" w:tplc="7FCE8EE6">
      <w:start w:val="8"/>
      <w:numFmt w:val="lowerLetter"/>
      <w:lvlText w:val="%1)"/>
      <w:lvlJc w:val="left"/>
      <w:pPr>
        <w:ind w:left="360" w:hanging="360"/>
      </w:pPr>
      <w:rPr>
        <w:rFonts w:asciiTheme="minorHAnsi" w:eastAsia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3D2971"/>
    <w:multiLevelType w:val="hybridMultilevel"/>
    <w:tmpl w:val="6A0854B8"/>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69C1E7C"/>
    <w:multiLevelType w:val="hybridMultilevel"/>
    <w:tmpl w:val="748475D6"/>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FD2F2F"/>
    <w:multiLevelType w:val="hybridMultilevel"/>
    <w:tmpl w:val="D7AEF19C"/>
    <w:lvl w:ilvl="0" w:tplc="04050001">
      <w:start w:val="1"/>
      <w:numFmt w:val="bullet"/>
      <w:lvlText w:val=""/>
      <w:lvlJc w:val="left"/>
      <w:pPr>
        <w:ind w:left="393" w:hanging="360"/>
      </w:pPr>
      <w:rPr>
        <w:rFonts w:ascii="Symbol" w:hAnsi="Symbol" w:hint="default"/>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abstractNum w:abstractNumId="18">
    <w:nsid w:val="595A23B6"/>
    <w:multiLevelType w:val="hybridMultilevel"/>
    <w:tmpl w:val="79B4497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2F6E44"/>
    <w:multiLevelType w:val="hybridMultilevel"/>
    <w:tmpl w:val="230E3D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0">
    <w:nsid w:val="68AB3370"/>
    <w:multiLevelType w:val="hybridMultilevel"/>
    <w:tmpl w:val="230E3D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1">
    <w:nsid w:val="69604B03"/>
    <w:multiLevelType w:val="multilevel"/>
    <w:tmpl w:val="D9F423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2A60BDC"/>
    <w:multiLevelType w:val="multilevel"/>
    <w:tmpl w:val="6F14E17E"/>
    <w:lvl w:ilvl="0">
      <w:start w:val="1"/>
      <w:numFmt w:val="bullet"/>
      <w:lvlText w:val="-"/>
      <w:lvlJc w:val="left"/>
      <w:pPr>
        <w:ind w:left="720" w:firstLine="360"/>
      </w:pPr>
      <w:rPr>
        <w:rFonts w:ascii="Calibri" w:hAnsi="Calibr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7BA5EBC"/>
    <w:multiLevelType w:val="hybridMultilevel"/>
    <w:tmpl w:val="CAF83E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7"/>
  </w:num>
  <w:num w:numId="7">
    <w:abstractNumId w:val="20"/>
  </w:num>
  <w:num w:numId="8">
    <w:abstractNumId w:val="3"/>
  </w:num>
  <w:num w:numId="9">
    <w:abstractNumId w:val="18"/>
  </w:num>
  <w:num w:numId="10">
    <w:abstractNumId w:val="8"/>
  </w:num>
  <w:num w:numId="11">
    <w:abstractNumId w:val="15"/>
  </w:num>
  <w:num w:numId="12">
    <w:abstractNumId w:val="1"/>
    <w:lvlOverride w:ilvl="0">
      <w:startOverride w:val="1"/>
    </w:lvlOverride>
  </w:num>
  <w:num w:numId="13">
    <w:abstractNumId w:val="19"/>
  </w:num>
  <w:num w:numId="14">
    <w:abstractNumId w:val="21"/>
  </w:num>
  <w:num w:numId="15">
    <w:abstractNumId w:val="2"/>
  </w:num>
  <w:num w:numId="16">
    <w:abstractNumId w:val="11"/>
  </w:num>
  <w:num w:numId="17">
    <w:abstractNumId w:val="6"/>
  </w:num>
  <w:num w:numId="18">
    <w:abstractNumId w:val="22"/>
  </w:num>
  <w:num w:numId="19">
    <w:abstractNumId w:val="16"/>
  </w:num>
  <w:num w:numId="20">
    <w:abstractNumId w:val="9"/>
  </w:num>
  <w:num w:numId="21">
    <w:abstractNumId w:val="10"/>
  </w:num>
  <w:num w:numId="22">
    <w:abstractNumId w:val="7"/>
  </w:num>
  <w:num w:numId="23">
    <w:abstractNumId w:val="14"/>
  </w:num>
  <w:num w:numId="24">
    <w:abstractNumId w:val="12"/>
  </w:num>
  <w:num w:numId="25">
    <w:abstractNumId w:val="23"/>
  </w:num>
  <w:num w:numId="26">
    <w:abstractNumId w:val="1"/>
    <w:lvlOverride w:ilvl="0">
      <w:startOverride w:val="1"/>
    </w:lvlOverride>
  </w:num>
  <w:num w:numId="27">
    <w:abstractNumId w:val="1"/>
    <w:lvlOverride w:ilvl="0">
      <w:startOverride w:val="1"/>
    </w:lvlOverride>
  </w:num>
  <w:num w:numId="28">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246F"/>
    <w:rsid w:val="00000921"/>
    <w:rsid w:val="00000FB2"/>
    <w:rsid w:val="000031AE"/>
    <w:rsid w:val="0001118C"/>
    <w:rsid w:val="00012467"/>
    <w:rsid w:val="000163B4"/>
    <w:rsid w:val="00021BED"/>
    <w:rsid w:val="00023C46"/>
    <w:rsid w:val="00024A86"/>
    <w:rsid w:val="00033DEC"/>
    <w:rsid w:val="00051FA1"/>
    <w:rsid w:val="00052D15"/>
    <w:rsid w:val="000549CC"/>
    <w:rsid w:val="00054DEF"/>
    <w:rsid w:val="000634AF"/>
    <w:rsid w:val="00072A33"/>
    <w:rsid w:val="00076442"/>
    <w:rsid w:val="0008057E"/>
    <w:rsid w:val="000805DA"/>
    <w:rsid w:val="0008334D"/>
    <w:rsid w:val="000A1191"/>
    <w:rsid w:val="000B70FD"/>
    <w:rsid w:val="000D0773"/>
    <w:rsid w:val="000E3B23"/>
    <w:rsid w:val="000F17F8"/>
    <w:rsid w:val="001019DD"/>
    <w:rsid w:val="00103D8B"/>
    <w:rsid w:val="00105F75"/>
    <w:rsid w:val="00106A61"/>
    <w:rsid w:val="00106BC9"/>
    <w:rsid w:val="00112078"/>
    <w:rsid w:val="001134E4"/>
    <w:rsid w:val="00120FB7"/>
    <w:rsid w:val="00153326"/>
    <w:rsid w:val="00156393"/>
    <w:rsid w:val="0016680A"/>
    <w:rsid w:val="00175082"/>
    <w:rsid w:val="00185275"/>
    <w:rsid w:val="00185E81"/>
    <w:rsid w:val="00187A41"/>
    <w:rsid w:val="0019138E"/>
    <w:rsid w:val="00196539"/>
    <w:rsid w:val="001A67E3"/>
    <w:rsid w:val="001B1593"/>
    <w:rsid w:val="001B783D"/>
    <w:rsid w:val="001C2BE8"/>
    <w:rsid w:val="001C7090"/>
    <w:rsid w:val="001E110F"/>
    <w:rsid w:val="00201173"/>
    <w:rsid w:val="002154F6"/>
    <w:rsid w:val="0021581D"/>
    <w:rsid w:val="00217527"/>
    <w:rsid w:val="002274C7"/>
    <w:rsid w:val="00227955"/>
    <w:rsid w:val="0023052B"/>
    <w:rsid w:val="00233FC2"/>
    <w:rsid w:val="00236F53"/>
    <w:rsid w:val="00237350"/>
    <w:rsid w:val="00245FB9"/>
    <w:rsid w:val="0025049E"/>
    <w:rsid w:val="0025246F"/>
    <w:rsid w:val="0025405C"/>
    <w:rsid w:val="00254557"/>
    <w:rsid w:val="00255AA6"/>
    <w:rsid w:val="0026131E"/>
    <w:rsid w:val="002743CA"/>
    <w:rsid w:val="002A3DF0"/>
    <w:rsid w:val="002A74F3"/>
    <w:rsid w:val="002B4E51"/>
    <w:rsid w:val="002C1894"/>
    <w:rsid w:val="002D60D5"/>
    <w:rsid w:val="002D7B22"/>
    <w:rsid w:val="002E1918"/>
    <w:rsid w:val="002E2ABA"/>
    <w:rsid w:val="003067B6"/>
    <w:rsid w:val="00313C22"/>
    <w:rsid w:val="00342447"/>
    <w:rsid w:val="00344ABA"/>
    <w:rsid w:val="00352A07"/>
    <w:rsid w:val="003539A8"/>
    <w:rsid w:val="00357899"/>
    <w:rsid w:val="00363B8C"/>
    <w:rsid w:val="00374B7E"/>
    <w:rsid w:val="0037648C"/>
    <w:rsid w:val="00376F07"/>
    <w:rsid w:val="003813E8"/>
    <w:rsid w:val="003906C2"/>
    <w:rsid w:val="003B6678"/>
    <w:rsid w:val="003C588F"/>
    <w:rsid w:val="003D2689"/>
    <w:rsid w:val="003D551F"/>
    <w:rsid w:val="003E15DD"/>
    <w:rsid w:val="003E43DC"/>
    <w:rsid w:val="003F19E4"/>
    <w:rsid w:val="00402D48"/>
    <w:rsid w:val="00404242"/>
    <w:rsid w:val="00415F4D"/>
    <w:rsid w:val="0044396C"/>
    <w:rsid w:val="00447A07"/>
    <w:rsid w:val="00450AB1"/>
    <w:rsid w:val="00453FE7"/>
    <w:rsid w:val="00462FDD"/>
    <w:rsid w:val="004631E8"/>
    <w:rsid w:val="004666F0"/>
    <w:rsid w:val="0047128F"/>
    <w:rsid w:val="00476B6C"/>
    <w:rsid w:val="004877E8"/>
    <w:rsid w:val="004A4B9A"/>
    <w:rsid w:val="004D046C"/>
    <w:rsid w:val="004D1324"/>
    <w:rsid w:val="004D4304"/>
    <w:rsid w:val="004D6DC2"/>
    <w:rsid w:val="004D726E"/>
    <w:rsid w:val="004D78A0"/>
    <w:rsid w:val="004E0D69"/>
    <w:rsid w:val="004F1850"/>
    <w:rsid w:val="005304D2"/>
    <w:rsid w:val="00533F1A"/>
    <w:rsid w:val="00547E8F"/>
    <w:rsid w:val="00552909"/>
    <w:rsid w:val="00552B86"/>
    <w:rsid w:val="00557FB3"/>
    <w:rsid w:val="00560EE7"/>
    <w:rsid w:val="005628B4"/>
    <w:rsid w:val="00567BA2"/>
    <w:rsid w:val="005705AF"/>
    <w:rsid w:val="00592125"/>
    <w:rsid w:val="005A2C3F"/>
    <w:rsid w:val="005A6F91"/>
    <w:rsid w:val="005D13D7"/>
    <w:rsid w:val="005D2B4E"/>
    <w:rsid w:val="005E2CD4"/>
    <w:rsid w:val="005E31D1"/>
    <w:rsid w:val="005E6D94"/>
    <w:rsid w:val="005E78E7"/>
    <w:rsid w:val="005E7937"/>
    <w:rsid w:val="005F3F35"/>
    <w:rsid w:val="005F4D2A"/>
    <w:rsid w:val="006136A0"/>
    <w:rsid w:val="00633AC2"/>
    <w:rsid w:val="00643F78"/>
    <w:rsid w:val="00645542"/>
    <w:rsid w:val="006522B1"/>
    <w:rsid w:val="00657B31"/>
    <w:rsid w:val="00664A82"/>
    <w:rsid w:val="006764BA"/>
    <w:rsid w:val="0069071C"/>
    <w:rsid w:val="006977C4"/>
    <w:rsid w:val="006A45FB"/>
    <w:rsid w:val="006B6CD0"/>
    <w:rsid w:val="006C1E92"/>
    <w:rsid w:val="006C4BAD"/>
    <w:rsid w:val="006E5376"/>
    <w:rsid w:val="006F25B1"/>
    <w:rsid w:val="006F3A30"/>
    <w:rsid w:val="00702096"/>
    <w:rsid w:val="00704388"/>
    <w:rsid w:val="00704889"/>
    <w:rsid w:val="00717386"/>
    <w:rsid w:val="00730B62"/>
    <w:rsid w:val="00732CD8"/>
    <w:rsid w:val="007537E9"/>
    <w:rsid w:val="00755CB3"/>
    <w:rsid w:val="0076646C"/>
    <w:rsid w:val="00770DF3"/>
    <w:rsid w:val="0077436A"/>
    <w:rsid w:val="0078452A"/>
    <w:rsid w:val="00792C6C"/>
    <w:rsid w:val="00793965"/>
    <w:rsid w:val="007A0277"/>
    <w:rsid w:val="007A1264"/>
    <w:rsid w:val="007A46D2"/>
    <w:rsid w:val="007B6653"/>
    <w:rsid w:val="007C5E11"/>
    <w:rsid w:val="007D02DD"/>
    <w:rsid w:val="007E0AD2"/>
    <w:rsid w:val="007E6A05"/>
    <w:rsid w:val="00800DEF"/>
    <w:rsid w:val="00803D36"/>
    <w:rsid w:val="00806E21"/>
    <w:rsid w:val="008109A8"/>
    <w:rsid w:val="00820392"/>
    <w:rsid w:val="0083032D"/>
    <w:rsid w:val="008540E6"/>
    <w:rsid w:val="00863E73"/>
    <w:rsid w:val="00865A15"/>
    <w:rsid w:val="00867ED1"/>
    <w:rsid w:val="00871B3B"/>
    <w:rsid w:val="008755B3"/>
    <w:rsid w:val="00883B98"/>
    <w:rsid w:val="00887463"/>
    <w:rsid w:val="00893757"/>
    <w:rsid w:val="008A1209"/>
    <w:rsid w:val="008A3BEB"/>
    <w:rsid w:val="008A6261"/>
    <w:rsid w:val="008A7D10"/>
    <w:rsid w:val="008B10C4"/>
    <w:rsid w:val="008B354C"/>
    <w:rsid w:val="008B389B"/>
    <w:rsid w:val="008C3E93"/>
    <w:rsid w:val="008C4F90"/>
    <w:rsid w:val="008D4722"/>
    <w:rsid w:val="008E3DA7"/>
    <w:rsid w:val="008F1922"/>
    <w:rsid w:val="008F2C87"/>
    <w:rsid w:val="0090457C"/>
    <w:rsid w:val="00920B0D"/>
    <w:rsid w:val="009232E2"/>
    <w:rsid w:val="00926D74"/>
    <w:rsid w:val="009340AB"/>
    <w:rsid w:val="00944CB2"/>
    <w:rsid w:val="00945C60"/>
    <w:rsid w:val="00970E11"/>
    <w:rsid w:val="0097118E"/>
    <w:rsid w:val="009A77FF"/>
    <w:rsid w:val="009B37FA"/>
    <w:rsid w:val="009C634F"/>
    <w:rsid w:val="009E0C5E"/>
    <w:rsid w:val="009E16AC"/>
    <w:rsid w:val="009E4AEE"/>
    <w:rsid w:val="009E4F2B"/>
    <w:rsid w:val="009F06E4"/>
    <w:rsid w:val="009F61E9"/>
    <w:rsid w:val="00A07556"/>
    <w:rsid w:val="00A10467"/>
    <w:rsid w:val="00A12745"/>
    <w:rsid w:val="00A2134C"/>
    <w:rsid w:val="00A2203F"/>
    <w:rsid w:val="00A304D2"/>
    <w:rsid w:val="00A32C7A"/>
    <w:rsid w:val="00A373F9"/>
    <w:rsid w:val="00A40D59"/>
    <w:rsid w:val="00A42A37"/>
    <w:rsid w:val="00A434D1"/>
    <w:rsid w:val="00A517CA"/>
    <w:rsid w:val="00A62467"/>
    <w:rsid w:val="00A7049C"/>
    <w:rsid w:val="00A856B6"/>
    <w:rsid w:val="00AA2115"/>
    <w:rsid w:val="00AB34E1"/>
    <w:rsid w:val="00AD679B"/>
    <w:rsid w:val="00AD7976"/>
    <w:rsid w:val="00AE1A22"/>
    <w:rsid w:val="00AF2991"/>
    <w:rsid w:val="00B06055"/>
    <w:rsid w:val="00B13BE6"/>
    <w:rsid w:val="00B17F69"/>
    <w:rsid w:val="00B2353D"/>
    <w:rsid w:val="00B27635"/>
    <w:rsid w:val="00B33045"/>
    <w:rsid w:val="00B35C73"/>
    <w:rsid w:val="00B4433B"/>
    <w:rsid w:val="00B628B6"/>
    <w:rsid w:val="00B63D01"/>
    <w:rsid w:val="00B76C7F"/>
    <w:rsid w:val="00B76E94"/>
    <w:rsid w:val="00B8661F"/>
    <w:rsid w:val="00B91862"/>
    <w:rsid w:val="00B93D86"/>
    <w:rsid w:val="00BA2D3C"/>
    <w:rsid w:val="00BA2F2E"/>
    <w:rsid w:val="00BA7408"/>
    <w:rsid w:val="00BB6868"/>
    <w:rsid w:val="00BC1FBA"/>
    <w:rsid w:val="00BC21F1"/>
    <w:rsid w:val="00BE4F13"/>
    <w:rsid w:val="00BE742F"/>
    <w:rsid w:val="00C037D9"/>
    <w:rsid w:val="00C1361A"/>
    <w:rsid w:val="00C146EC"/>
    <w:rsid w:val="00C2580C"/>
    <w:rsid w:val="00C32AEF"/>
    <w:rsid w:val="00C371B0"/>
    <w:rsid w:val="00C454D5"/>
    <w:rsid w:val="00C6341E"/>
    <w:rsid w:val="00C76C0C"/>
    <w:rsid w:val="00C839A5"/>
    <w:rsid w:val="00C87A7A"/>
    <w:rsid w:val="00CB0AF1"/>
    <w:rsid w:val="00CB6FF8"/>
    <w:rsid w:val="00CC4412"/>
    <w:rsid w:val="00CD11F2"/>
    <w:rsid w:val="00CE7D21"/>
    <w:rsid w:val="00CF5103"/>
    <w:rsid w:val="00D11193"/>
    <w:rsid w:val="00D11D4B"/>
    <w:rsid w:val="00D23124"/>
    <w:rsid w:val="00D26B1A"/>
    <w:rsid w:val="00D26BE6"/>
    <w:rsid w:val="00D343F0"/>
    <w:rsid w:val="00D470ED"/>
    <w:rsid w:val="00D54C8F"/>
    <w:rsid w:val="00D557BA"/>
    <w:rsid w:val="00D66890"/>
    <w:rsid w:val="00D67D91"/>
    <w:rsid w:val="00D85232"/>
    <w:rsid w:val="00D901C5"/>
    <w:rsid w:val="00D94ABC"/>
    <w:rsid w:val="00DA18BF"/>
    <w:rsid w:val="00DE6C7C"/>
    <w:rsid w:val="00DF294C"/>
    <w:rsid w:val="00DF67A9"/>
    <w:rsid w:val="00E1017C"/>
    <w:rsid w:val="00E1423C"/>
    <w:rsid w:val="00E151CA"/>
    <w:rsid w:val="00E21D65"/>
    <w:rsid w:val="00E24D6D"/>
    <w:rsid w:val="00E31670"/>
    <w:rsid w:val="00E3569B"/>
    <w:rsid w:val="00E43F43"/>
    <w:rsid w:val="00E44BDA"/>
    <w:rsid w:val="00E504BA"/>
    <w:rsid w:val="00E51659"/>
    <w:rsid w:val="00E5181E"/>
    <w:rsid w:val="00E7128A"/>
    <w:rsid w:val="00E91EF5"/>
    <w:rsid w:val="00E94E62"/>
    <w:rsid w:val="00EC0210"/>
    <w:rsid w:val="00ED26AF"/>
    <w:rsid w:val="00ED2D7D"/>
    <w:rsid w:val="00ED5B82"/>
    <w:rsid w:val="00ED7D7B"/>
    <w:rsid w:val="00EE5E2B"/>
    <w:rsid w:val="00EF3F46"/>
    <w:rsid w:val="00EF765E"/>
    <w:rsid w:val="00F029C1"/>
    <w:rsid w:val="00F02B87"/>
    <w:rsid w:val="00F221C7"/>
    <w:rsid w:val="00F2781F"/>
    <w:rsid w:val="00F4204D"/>
    <w:rsid w:val="00F4253C"/>
    <w:rsid w:val="00F4553E"/>
    <w:rsid w:val="00F50C48"/>
    <w:rsid w:val="00F511F3"/>
    <w:rsid w:val="00F6775B"/>
    <w:rsid w:val="00F77253"/>
    <w:rsid w:val="00F81130"/>
    <w:rsid w:val="00F81B01"/>
    <w:rsid w:val="00FA0157"/>
    <w:rsid w:val="00FA4F40"/>
    <w:rsid w:val="00FB38B1"/>
    <w:rsid w:val="00FC119D"/>
    <w:rsid w:val="00FC2E9C"/>
    <w:rsid w:val="00FC77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7A9"/>
    <w:rPr>
      <w:sz w:val="20"/>
      <w:szCs w:val="20"/>
    </w:rPr>
  </w:style>
  <w:style w:type="paragraph" w:styleId="Nadpis1">
    <w:name w:val="heading 1"/>
    <w:basedOn w:val="Normln"/>
    <w:next w:val="Normln"/>
    <w:link w:val="Nadpis1Char"/>
    <w:uiPriority w:val="99"/>
    <w:qFormat/>
    <w:rsid w:val="006E5376"/>
    <w:pPr>
      <w:keepNext/>
      <w:tabs>
        <w:tab w:val="left" w:pos="5670"/>
        <w:tab w:val="left" w:pos="8222"/>
      </w:tabs>
      <w:spacing w:before="120" w:line="480" w:lineRule="auto"/>
      <w:jc w:val="center"/>
      <w:outlineLvl w:val="0"/>
    </w:pPr>
    <w:rPr>
      <w:rFonts w:ascii="Cambria" w:hAnsi="Cambria"/>
      <w:b/>
      <w:kern w:val="32"/>
      <w:sz w:val="32"/>
    </w:rPr>
  </w:style>
  <w:style w:type="paragraph" w:styleId="Nadpis2">
    <w:name w:val="heading 2"/>
    <w:basedOn w:val="Normln"/>
    <w:next w:val="Normln"/>
    <w:link w:val="Nadpis2Char"/>
    <w:uiPriority w:val="99"/>
    <w:qFormat/>
    <w:rsid w:val="006E5376"/>
    <w:pPr>
      <w:keepNext/>
      <w:tabs>
        <w:tab w:val="left" w:pos="5670"/>
        <w:tab w:val="left" w:pos="8222"/>
      </w:tabs>
      <w:outlineLvl w:val="1"/>
    </w:pPr>
    <w:rPr>
      <w:rFonts w:ascii="Cambria" w:hAnsi="Cambria"/>
      <w:b/>
      <w:i/>
      <w:sz w:val="28"/>
    </w:rPr>
  </w:style>
  <w:style w:type="paragraph" w:styleId="Nadpis3">
    <w:name w:val="heading 3"/>
    <w:basedOn w:val="Normln"/>
    <w:next w:val="Normln"/>
    <w:link w:val="Nadpis3Char"/>
    <w:semiHidden/>
    <w:unhideWhenUsed/>
    <w:qFormat/>
    <w:locked/>
    <w:rsid w:val="00D54C8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D2689"/>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3D2689"/>
    <w:rPr>
      <w:rFonts w:ascii="Cambria" w:hAnsi="Cambria" w:cs="Times New Roman"/>
      <w:b/>
      <w:i/>
      <w:sz w:val="28"/>
    </w:rPr>
  </w:style>
  <w:style w:type="paragraph" w:styleId="Rozvrendokumentu">
    <w:name w:val="Document Map"/>
    <w:basedOn w:val="Normln"/>
    <w:link w:val="RozvrendokumentuChar"/>
    <w:uiPriority w:val="99"/>
    <w:semiHidden/>
    <w:rsid w:val="006E5376"/>
    <w:pPr>
      <w:shd w:val="clear" w:color="auto" w:fill="000080"/>
    </w:pPr>
    <w:rPr>
      <w:sz w:val="2"/>
    </w:rPr>
  </w:style>
  <w:style w:type="character" w:customStyle="1" w:styleId="RozvrendokumentuChar">
    <w:name w:val="Rozvržení dokumentu Char"/>
    <w:basedOn w:val="Standardnpsmoodstavce"/>
    <w:link w:val="Rozvrendokumentu"/>
    <w:uiPriority w:val="99"/>
    <w:semiHidden/>
    <w:locked/>
    <w:rsid w:val="003D2689"/>
    <w:rPr>
      <w:rFonts w:cs="Times New Roman"/>
      <w:sz w:val="2"/>
    </w:rPr>
  </w:style>
  <w:style w:type="paragraph" w:styleId="Zhlav">
    <w:name w:val="header"/>
    <w:basedOn w:val="Normln"/>
    <w:link w:val="ZhlavChar"/>
    <w:uiPriority w:val="99"/>
    <w:rsid w:val="003B6678"/>
    <w:pPr>
      <w:tabs>
        <w:tab w:val="center" w:pos="4536"/>
        <w:tab w:val="right" w:pos="9072"/>
      </w:tabs>
    </w:pPr>
  </w:style>
  <w:style w:type="character" w:customStyle="1" w:styleId="ZhlavChar">
    <w:name w:val="Záhlaví Char"/>
    <w:basedOn w:val="Standardnpsmoodstavce"/>
    <w:link w:val="Zhlav"/>
    <w:uiPriority w:val="99"/>
    <w:semiHidden/>
    <w:locked/>
    <w:rsid w:val="003D2689"/>
    <w:rPr>
      <w:rFonts w:cs="Times New Roman"/>
      <w:sz w:val="20"/>
    </w:rPr>
  </w:style>
  <w:style w:type="paragraph" w:styleId="Zpat">
    <w:name w:val="footer"/>
    <w:basedOn w:val="Normln"/>
    <w:link w:val="ZpatChar"/>
    <w:uiPriority w:val="99"/>
    <w:rsid w:val="003B6678"/>
    <w:pPr>
      <w:tabs>
        <w:tab w:val="center" w:pos="4536"/>
        <w:tab w:val="right" w:pos="9072"/>
      </w:tabs>
    </w:pPr>
  </w:style>
  <w:style w:type="character" w:customStyle="1" w:styleId="ZpatChar">
    <w:name w:val="Zápatí Char"/>
    <w:basedOn w:val="Standardnpsmoodstavce"/>
    <w:link w:val="Zpat"/>
    <w:uiPriority w:val="99"/>
    <w:locked/>
    <w:rsid w:val="003D2689"/>
    <w:rPr>
      <w:rFonts w:cs="Times New Roman"/>
      <w:sz w:val="20"/>
    </w:rPr>
  </w:style>
  <w:style w:type="character" w:styleId="Hypertextovodkaz">
    <w:name w:val="Hyperlink"/>
    <w:basedOn w:val="Standardnpsmoodstavce"/>
    <w:uiPriority w:val="99"/>
    <w:rsid w:val="003B6678"/>
    <w:rPr>
      <w:rFonts w:cs="Times New Roman"/>
      <w:color w:val="0000FF"/>
      <w:u w:val="single"/>
    </w:rPr>
  </w:style>
  <w:style w:type="paragraph" w:styleId="Textbubliny">
    <w:name w:val="Balloon Text"/>
    <w:basedOn w:val="Normln"/>
    <w:link w:val="TextbublinyChar"/>
    <w:uiPriority w:val="99"/>
    <w:semiHidden/>
    <w:rsid w:val="00DF67A9"/>
    <w:rPr>
      <w:sz w:val="18"/>
    </w:rPr>
  </w:style>
  <w:style w:type="character" w:customStyle="1" w:styleId="TextbublinyChar">
    <w:name w:val="Text bubliny Char"/>
    <w:basedOn w:val="Standardnpsmoodstavce"/>
    <w:link w:val="Textbubliny"/>
    <w:uiPriority w:val="99"/>
    <w:semiHidden/>
    <w:locked/>
    <w:rsid w:val="00DF67A9"/>
    <w:rPr>
      <w:sz w:val="18"/>
      <w:szCs w:val="20"/>
    </w:rPr>
  </w:style>
  <w:style w:type="paragraph" w:customStyle="1" w:styleId="Popisky">
    <w:name w:val="Popisky"/>
    <w:uiPriority w:val="99"/>
    <w:rsid w:val="0076646C"/>
    <w:rPr>
      <w:rFonts w:ascii="Arial" w:hAnsi="Arial"/>
      <w:sz w:val="20"/>
      <w:szCs w:val="20"/>
    </w:rPr>
  </w:style>
  <w:style w:type="character" w:styleId="Siln">
    <w:name w:val="Strong"/>
    <w:uiPriority w:val="22"/>
    <w:qFormat/>
    <w:locked/>
    <w:rsid w:val="0076646C"/>
    <w:rPr>
      <w:b/>
      <w:bCs/>
      <w:color w:val="333333"/>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76646C"/>
    <w:pPr>
      <w:ind w:left="720"/>
      <w:contextualSpacing/>
    </w:pPr>
    <w:rPr>
      <w:sz w:val="24"/>
      <w:szCs w:val="24"/>
    </w:rPr>
  </w:style>
  <w:style w:type="paragraph" w:customStyle="1" w:styleId="Default">
    <w:name w:val="Default"/>
    <w:basedOn w:val="Normln"/>
    <w:rsid w:val="0076646C"/>
    <w:pPr>
      <w:autoSpaceDE w:val="0"/>
      <w:autoSpaceDN w:val="0"/>
    </w:pPr>
    <w:rPr>
      <w:rFonts w:ascii="Calibri" w:eastAsia="Calibri" w:hAnsi="Calibri"/>
      <w:color w:val="000000"/>
      <w:sz w:val="24"/>
      <w:szCs w:val="24"/>
      <w:lang w:eastAsia="en-US"/>
    </w:rPr>
  </w:style>
  <w:style w:type="paragraph" w:customStyle="1" w:styleId="indent">
    <w:name w:val="indent"/>
    <w:basedOn w:val="Normln"/>
    <w:rsid w:val="008B10C4"/>
    <w:pPr>
      <w:spacing w:before="48" w:after="48"/>
      <w:ind w:firstLine="480"/>
      <w:jc w:val="both"/>
    </w:pPr>
    <w:rPr>
      <w:sz w:val="24"/>
      <w:szCs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8B10C4"/>
    <w:rPr>
      <w:sz w:val="24"/>
      <w:szCs w:val="24"/>
    </w:rPr>
  </w:style>
  <w:style w:type="character" w:customStyle="1" w:styleId="Nadpis3Char">
    <w:name w:val="Nadpis 3 Char"/>
    <w:basedOn w:val="Standardnpsmoodstavce"/>
    <w:link w:val="Nadpis3"/>
    <w:semiHidden/>
    <w:rsid w:val="00D54C8F"/>
    <w:rPr>
      <w:rFonts w:asciiTheme="majorHAnsi" w:eastAsiaTheme="majorEastAsia" w:hAnsiTheme="majorHAnsi" w:cstheme="majorBidi"/>
      <w:b/>
      <w:bCs/>
      <w:color w:val="4F81BD" w:themeColor="accent1"/>
      <w:sz w:val="20"/>
      <w:szCs w:val="20"/>
    </w:rPr>
  </w:style>
  <w:style w:type="paragraph" w:customStyle="1" w:styleId="KUMS-text">
    <w:name w:val="KUMS-text"/>
    <w:basedOn w:val="Zkladntext"/>
    <w:uiPriority w:val="99"/>
    <w:rsid w:val="00D54C8F"/>
    <w:pPr>
      <w:spacing w:after="280" w:line="280" w:lineRule="exact"/>
      <w:jc w:val="both"/>
    </w:pPr>
    <w:rPr>
      <w:rFonts w:ascii="Tahoma" w:eastAsiaTheme="minorEastAsia" w:hAnsi="Tahoma" w:cs="Tahoma"/>
    </w:rPr>
  </w:style>
  <w:style w:type="paragraph" w:styleId="Zkladntext">
    <w:name w:val="Body Text"/>
    <w:basedOn w:val="Normln"/>
    <w:link w:val="ZkladntextChar"/>
    <w:unhideWhenUsed/>
    <w:rsid w:val="00D54C8F"/>
    <w:pPr>
      <w:spacing w:after="120"/>
    </w:pPr>
  </w:style>
  <w:style w:type="character" w:customStyle="1" w:styleId="ZkladntextChar">
    <w:name w:val="Základní text Char"/>
    <w:basedOn w:val="Standardnpsmoodstavce"/>
    <w:link w:val="Zkladntext"/>
    <w:uiPriority w:val="99"/>
    <w:semiHidden/>
    <w:rsid w:val="00D54C8F"/>
    <w:rPr>
      <w:sz w:val="20"/>
      <w:szCs w:val="20"/>
    </w:rPr>
  </w:style>
  <w:style w:type="paragraph" w:styleId="Textvysvtlivek">
    <w:name w:val="endnote text"/>
    <w:basedOn w:val="Normln"/>
    <w:link w:val="TextvysvtlivekChar"/>
    <w:uiPriority w:val="99"/>
    <w:semiHidden/>
    <w:unhideWhenUsed/>
    <w:rsid w:val="00B76C7F"/>
    <w:rPr>
      <w:rFonts w:ascii="Arial" w:hAnsi="Arial" w:cs="Arial"/>
    </w:rPr>
  </w:style>
  <w:style w:type="character" w:customStyle="1" w:styleId="TextvysvtlivekChar">
    <w:name w:val="Text vysvětlivek Char"/>
    <w:basedOn w:val="Standardnpsmoodstavce"/>
    <w:link w:val="Textvysvtlivek"/>
    <w:uiPriority w:val="99"/>
    <w:semiHidden/>
    <w:rsid w:val="00B76C7F"/>
    <w:rPr>
      <w:rFonts w:ascii="Arial" w:hAnsi="Arial" w:cs="Arial"/>
      <w:sz w:val="20"/>
      <w:szCs w:val="20"/>
    </w:rPr>
  </w:style>
  <w:style w:type="character" w:styleId="Odkaznavysvtlivky">
    <w:name w:val="endnote reference"/>
    <w:basedOn w:val="Standardnpsmoodstavce"/>
    <w:uiPriority w:val="99"/>
    <w:semiHidden/>
    <w:unhideWhenUsed/>
    <w:rsid w:val="00B76C7F"/>
    <w:rPr>
      <w:vertAlign w:val="superscript"/>
    </w:rPr>
  </w:style>
  <w:style w:type="paragraph" w:styleId="Normlnweb">
    <w:name w:val="Normal (Web)"/>
    <w:basedOn w:val="Normln"/>
    <w:uiPriority w:val="99"/>
    <w:unhideWhenUsed/>
    <w:rsid w:val="00893757"/>
    <w:pPr>
      <w:spacing w:before="100" w:beforeAutospacing="1" w:after="100" w:afterAutospacing="1" w:line="240" w:lineRule="atLeast"/>
    </w:pPr>
    <w:rPr>
      <w:rFonts w:ascii="Arial" w:hAnsi="Arial" w:cs="Arial"/>
      <w:sz w:val="22"/>
      <w:szCs w:val="22"/>
    </w:rPr>
  </w:style>
  <w:style w:type="paragraph" w:styleId="Bezmezer">
    <w:name w:val="No Spacing"/>
    <w:aliases w:val="Připomínky"/>
    <w:basedOn w:val="Normln"/>
    <w:uiPriority w:val="1"/>
    <w:qFormat/>
    <w:rsid w:val="00A517CA"/>
    <w:pPr>
      <w:widowControl w:val="0"/>
      <w:numPr>
        <w:numId w:val="1"/>
      </w:numPr>
      <w:autoSpaceDE w:val="0"/>
      <w:autoSpaceDN w:val="0"/>
      <w:adjustRightInd w:val="0"/>
      <w:spacing w:after="120"/>
      <w:jc w:val="both"/>
    </w:pPr>
    <w:rPr>
      <w:rFonts w:ascii="Arial" w:hAnsi="Arial" w:cs="Arial"/>
      <w:sz w:val="22"/>
      <w:szCs w:val="22"/>
    </w:rPr>
  </w:style>
  <w:style w:type="paragraph" w:styleId="Prosttext">
    <w:name w:val="Plain Text"/>
    <w:basedOn w:val="Normln"/>
    <w:link w:val="ProsttextChar"/>
    <w:uiPriority w:val="99"/>
    <w:unhideWhenUsed/>
    <w:rsid w:val="00800DEF"/>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800DEF"/>
    <w:rPr>
      <w:rFonts w:ascii="Consolas" w:eastAsiaTheme="minorHAnsi" w:hAnsi="Consolas" w:cs="Consolas"/>
      <w:sz w:val="21"/>
      <w:szCs w:val="21"/>
      <w:lang w:eastAsia="en-US"/>
    </w:rPr>
  </w:style>
  <w:style w:type="character" w:customStyle="1" w:styleId="OdstavecChar">
    <w:name w:val="Odstavec Char"/>
    <w:link w:val="Odstavec"/>
    <w:uiPriority w:val="99"/>
    <w:locked/>
    <w:rsid w:val="00F029C1"/>
    <w:rPr>
      <w:rFonts w:ascii="Calibri" w:hAnsi="Calibri"/>
      <w:sz w:val="24"/>
    </w:rPr>
  </w:style>
  <w:style w:type="paragraph" w:customStyle="1" w:styleId="Odstavec">
    <w:name w:val="Odstavec"/>
    <w:basedOn w:val="Normln"/>
    <w:link w:val="OdstavecChar"/>
    <w:uiPriority w:val="99"/>
    <w:qFormat/>
    <w:rsid w:val="00F029C1"/>
    <w:pPr>
      <w:spacing w:before="120" w:after="120"/>
      <w:jc w:val="both"/>
    </w:pPr>
    <w:rPr>
      <w:rFonts w:ascii="Calibri" w:hAnsi="Calibri"/>
      <w:sz w:val="24"/>
      <w:szCs w:val="22"/>
    </w:rPr>
  </w:style>
  <w:style w:type="character" w:customStyle="1" w:styleId="Tun">
    <w:name w:val="Tučné"/>
    <w:uiPriority w:val="99"/>
    <w:rsid w:val="00F029C1"/>
    <w:rPr>
      <w:b/>
      <w:bCs w:val="0"/>
    </w:rPr>
  </w:style>
  <w:style w:type="character" w:customStyle="1" w:styleId="Kurzva">
    <w:name w:val="Kurzíva"/>
    <w:uiPriority w:val="99"/>
    <w:qFormat/>
    <w:rsid w:val="00F029C1"/>
    <w:rPr>
      <w:i/>
      <w:iCs w:val="0"/>
    </w:rPr>
  </w:style>
  <w:style w:type="character" w:customStyle="1" w:styleId="TunKurzva">
    <w:name w:val="Tučné + Kurzíva"/>
    <w:uiPriority w:val="99"/>
    <w:rsid w:val="00F029C1"/>
    <w:rPr>
      <w:b/>
      <w:bCs w:val="0"/>
      <w:i/>
      <w:iCs w:val="0"/>
    </w:rPr>
  </w:style>
  <w:style w:type="character" w:customStyle="1" w:styleId="NormlnZNAK">
    <w:name w:val="Normální_ZNAK"/>
    <w:basedOn w:val="Standardnpsmoodstavce"/>
    <w:uiPriority w:val="99"/>
    <w:qFormat/>
    <w:rsid w:val="00F029C1"/>
    <w:rPr>
      <w:rFonts w:ascii="Calibri" w:hAnsi="Calibri" w:cs="Times New Roman" w:hint="default"/>
      <w:sz w:val="24"/>
    </w:rPr>
  </w:style>
  <w:style w:type="paragraph" w:customStyle="1" w:styleId="przdndek">
    <w:name w:val="prázdný řádek"/>
    <w:basedOn w:val="Normln"/>
    <w:qFormat/>
    <w:rsid w:val="00F029C1"/>
    <w:pPr>
      <w:jc w:val="both"/>
    </w:pPr>
    <w:rPr>
      <w:rFonts w:ascii="Arial" w:eastAsia="Calibri" w:hAnsi="Arial"/>
      <w:sz w:val="22"/>
      <w:szCs w:val="22"/>
      <w:lang w:eastAsia="en-US"/>
    </w:rPr>
  </w:style>
  <w:style w:type="character" w:styleId="Odkaznakoment">
    <w:name w:val="annotation reference"/>
    <w:basedOn w:val="Standardnpsmoodstavce"/>
    <w:semiHidden/>
    <w:unhideWhenUsed/>
    <w:rsid w:val="00185E81"/>
    <w:rPr>
      <w:sz w:val="16"/>
      <w:szCs w:val="16"/>
    </w:rPr>
  </w:style>
  <w:style w:type="paragraph" w:styleId="Textkomente">
    <w:name w:val="annotation text"/>
    <w:basedOn w:val="Normln"/>
    <w:link w:val="TextkomenteChar"/>
    <w:semiHidden/>
    <w:unhideWhenUsed/>
    <w:rsid w:val="00185E81"/>
  </w:style>
  <w:style w:type="character" w:customStyle="1" w:styleId="TextkomenteChar">
    <w:name w:val="Text komentáře Char"/>
    <w:basedOn w:val="Standardnpsmoodstavce"/>
    <w:link w:val="Textkomente"/>
    <w:uiPriority w:val="99"/>
    <w:semiHidden/>
    <w:rsid w:val="00185E81"/>
    <w:rPr>
      <w:sz w:val="20"/>
      <w:szCs w:val="20"/>
    </w:rPr>
  </w:style>
  <w:style w:type="paragraph" w:styleId="Pedmtkomente">
    <w:name w:val="annotation subject"/>
    <w:basedOn w:val="Textkomente"/>
    <w:next w:val="Textkomente"/>
    <w:link w:val="PedmtkomenteChar"/>
    <w:uiPriority w:val="99"/>
    <w:semiHidden/>
    <w:unhideWhenUsed/>
    <w:rsid w:val="00185E81"/>
    <w:rPr>
      <w:b/>
      <w:bCs/>
    </w:rPr>
  </w:style>
  <w:style w:type="character" w:customStyle="1" w:styleId="PedmtkomenteChar">
    <w:name w:val="Předmět komentáře Char"/>
    <w:basedOn w:val="TextkomenteChar"/>
    <w:link w:val="Pedmtkomente"/>
    <w:uiPriority w:val="99"/>
    <w:semiHidden/>
    <w:rsid w:val="00185E81"/>
    <w:rPr>
      <w:b/>
      <w:bCs/>
      <w:sz w:val="20"/>
      <w:szCs w:val="20"/>
    </w:rPr>
  </w:style>
  <w:style w:type="character" w:customStyle="1" w:styleId="apple-converted-space">
    <w:name w:val="apple-converted-space"/>
    <w:rsid w:val="00BE4F13"/>
  </w:style>
  <w:style w:type="character" w:styleId="Sledovanodkaz">
    <w:name w:val="FollowedHyperlink"/>
    <w:basedOn w:val="Standardnpsmoodstavce"/>
    <w:uiPriority w:val="99"/>
    <w:semiHidden/>
    <w:unhideWhenUsed/>
    <w:rsid w:val="00F455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606816">
      <w:bodyDiv w:val="1"/>
      <w:marLeft w:val="0"/>
      <w:marRight w:val="0"/>
      <w:marTop w:val="0"/>
      <w:marBottom w:val="0"/>
      <w:divBdr>
        <w:top w:val="none" w:sz="0" w:space="0" w:color="auto"/>
        <w:left w:val="none" w:sz="0" w:space="0" w:color="auto"/>
        <w:bottom w:val="none" w:sz="0" w:space="0" w:color="auto"/>
        <w:right w:val="none" w:sz="0" w:space="0" w:color="auto"/>
      </w:divBdr>
    </w:div>
    <w:div w:id="232204359">
      <w:bodyDiv w:val="1"/>
      <w:marLeft w:val="0"/>
      <w:marRight w:val="0"/>
      <w:marTop w:val="0"/>
      <w:marBottom w:val="0"/>
      <w:divBdr>
        <w:top w:val="none" w:sz="0" w:space="0" w:color="auto"/>
        <w:left w:val="none" w:sz="0" w:space="0" w:color="auto"/>
        <w:bottom w:val="none" w:sz="0" w:space="0" w:color="auto"/>
        <w:right w:val="none" w:sz="0" w:space="0" w:color="auto"/>
      </w:divBdr>
    </w:div>
    <w:div w:id="948703964">
      <w:bodyDiv w:val="1"/>
      <w:marLeft w:val="0"/>
      <w:marRight w:val="0"/>
      <w:marTop w:val="0"/>
      <w:marBottom w:val="0"/>
      <w:divBdr>
        <w:top w:val="none" w:sz="0" w:space="0" w:color="auto"/>
        <w:left w:val="none" w:sz="0" w:space="0" w:color="auto"/>
        <w:bottom w:val="none" w:sz="0" w:space="0" w:color="auto"/>
        <w:right w:val="none" w:sz="0" w:space="0" w:color="auto"/>
      </w:divBdr>
    </w:div>
    <w:div w:id="1453135784">
      <w:marLeft w:val="0"/>
      <w:marRight w:val="0"/>
      <w:marTop w:val="0"/>
      <w:marBottom w:val="0"/>
      <w:divBdr>
        <w:top w:val="none" w:sz="0" w:space="0" w:color="auto"/>
        <w:left w:val="none" w:sz="0" w:space="0" w:color="auto"/>
        <w:bottom w:val="none" w:sz="0" w:space="0" w:color="auto"/>
        <w:right w:val="none" w:sz="0" w:space="0" w:color="auto"/>
      </w:divBdr>
      <w:divsChild>
        <w:div w:id="1453135778">
          <w:marLeft w:val="0"/>
          <w:marRight w:val="0"/>
          <w:marTop w:val="0"/>
          <w:marBottom w:val="0"/>
          <w:divBdr>
            <w:top w:val="none" w:sz="0" w:space="0" w:color="auto"/>
            <w:left w:val="none" w:sz="0" w:space="0" w:color="auto"/>
            <w:bottom w:val="none" w:sz="0" w:space="0" w:color="auto"/>
            <w:right w:val="none" w:sz="0" w:space="0" w:color="auto"/>
          </w:divBdr>
          <w:divsChild>
            <w:div w:id="1453135783">
              <w:marLeft w:val="0"/>
              <w:marRight w:val="0"/>
              <w:marTop w:val="0"/>
              <w:marBottom w:val="0"/>
              <w:divBdr>
                <w:top w:val="none" w:sz="0" w:space="0" w:color="auto"/>
                <w:left w:val="none" w:sz="0" w:space="0" w:color="auto"/>
                <w:bottom w:val="none" w:sz="0" w:space="0" w:color="auto"/>
                <w:right w:val="none" w:sz="0" w:space="0" w:color="auto"/>
              </w:divBdr>
              <w:divsChild>
                <w:div w:id="1453135777">
                  <w:marLeft w:val="0"/>
                  <w:marRight w:val="0"/>
                  <w:marTop w:val="0"/>
                  <w:marBottom w:val="0"/>
                  <w:divBdr>
                    <w:top w:val="none" w:sz="0" w:space="0" w:color="auto"/>
                    <w:left w:val="none" w:sz="0" w:space="0" w:color="auto"/>
                    <w:bottom w:val="none" w:sz="0" w:space="0" w:color="auto"/>
                    <w:right w:val="none" w:sz="0" w:space="0" w:color="auto"/>
                  </w:divBdr>
                  <w:divsChild>
                    <w:div w:id="1453135780">
                      <w:marLeft w:val="0"/>
                      <w:marRight w:val="0"/>
                      <w:marTop w:val="0"/>
                      <w:marBottom w:val="0"/>
                      <w:divBdr>
                        <w:top w:val="none" w:sz="0" w:space="0" w:color="auto"/>
                        <w:left w:val="none" w:sz="0" w:space="0" w:color="auto"/>
                        <w:bottom w:val="none" w:sz="0" w:space="0" w:color="auto"/>
                        <w:right w:val="none" w:sz="0" w:space="0" w:color="auto"/>
                      </w:divBdr>
                      <w:divsChild>
                        <w:div w:id="1453135782">
                          <w:marLeft w:val="0"/>
                          <w:marRight w:val="0"/>
                          <w:marTop w:val="0"/>
                          <w:marBottom w:val="0"/>
                          <w:divBdr>
                            <w:top w:val="none" w:sz="0" w:space="0" w:color="auto"/>
                            <w:left w:val="none" w:sz="0" w:space="0" w:color="auto"/>
                            <w:bottom w:val="none" w:sz="0" w:space="0" w:color="auto"/>
                            <w:right w:val="none" w:sz="0" w:space="0" w:color="auto"/>
                          </w:divBdr>
                          <w:divsChild>
                            <w:div w:id="1453135779">
                              <w:marLeft w:val="0"/>
                              <w:marRight w:val="0"/>
                              <w:marTop w:val="0"/>
                              <w:marBottom w:val="0"/>
                              <w:divBdr>
                                <w:top w:val="none" w:sz="0" w:space="0" w:color="auto"/>
                                <w:left w:val="none" w:sz="0" w:space="0" w:color="auto"/>
                                <w:bottom w:val="none" w:sz="0" w:space="0" w:color="auto"/>
                                <w:right w:val="none" w:sz="0" w:space="0" w:color="auto"/>
                              </w:divBdr>
                              <w:divsChild>
                                <w:div w:id="1453135781">
                                  <w:marLeft w:val="0"/>
                                  <w:marRight w:val="0"/>
                                  <w:marTop w:val="0"/>
                                  <w:marBottom w:val="0"/>
                                  <w:divBdr>
                                    <w:top w:val="none" w:sz="0" w:space="0" w:color="auto"/>
                                    <w:left w:val="single" w:sz="6" w:space="4" w:color="E7E7E7"/>
                                    <w:bottom w:val="none" w:sz="0" w:space="0" w:color="auto"/>
                                    <w:right w:val="none" w:sz="0" w:space="0" w:color="auto"/>
                                  </w:divBdr>
                                </w:div>
                              </w:divsChild>
                            </w:div>
                          </w:divsChild>
                        </w:div>
                      </w:divsChild>
                    </w:div>
                  </w:divsChild>
                </w:div>
              </w:divsChild>
            </w:div>
          </w:divsChild>
        </w:div>
      </w:divsChild>
    </w:div>
    <w:div w:id="1453135785">
      <w:marLeft w:val="0"/>
      <w:marRight w:val="0"/>
      <w:marTop w:val="0"/>
      <w:marBottom w:val="0"/>
      <w:divBdr>
        <w:top w:val="none" w:sz="0" w:space="0" w:color="auto"/>
        <w:left w:val="none" w:sz="0" w:space="0" w:color="auto"/>
        <w:bottom w:val="none" w:sz="0" w:space="0" w:color="auto"/>
        <w:right w:val="none" w:sz="0" w:space="0" w:color="auto"/>
      </w:divBdr>
    </w:div>
    <w:div w:id="1759449227">
      <w:bodyDiv w:val="1"/>
      <w:marLeft w:val="0"/>
      <w:marRight w:val="0"/>
      <w:marTop w:val="0"/>
      <w:marBottom w:val="0"/>
      <w:divBdr>
        <w:top w:val="none" w:sz="0" w:space="0" w:color="auto"/>
        <w:left w:val="none" w:sz="0" w:space="0" w:color="auto"/>
        <w:bottom w:val="none" w:sz="0" w:space="0" w:color="auto"/>
        <w:right w:val="none" w:sz="0" w:space="0" w:color="auto"/>
      </w:divBdr>
    </w:div>
    <w:div w:id="1907102070">
      <w:bodyDiv w:val="1"/>
      <w:marLeft w:val="0"/>
      <w:marRight w:val="0"/>
      <w:marTop w:val="0"/>
      <w:marBottom w:val="0"/>
      <w:divBdr>
        <w:top w:val="none" w:sz="0" w:space="0" w:color="auto"/>
        <w:left w:val="none" w:sz="0" w:space="0" w:color="auto"/>
        <w:bottom w:val="none" w:sz="0" w:space="0" w:color="auto"/>
        <w:right w:val="none" w:sz="0" w:space="0" w:color="auto"/>
      </w:divBdr>
    </w:div>
    <w:div w:id="1953169864">
      <w:bodyDiv w:val="1"/>
      <w:marLeft w:val="0"/>
      <w:marRight w:val="0"/>
      <w:marTop w:val="0"/>
      <w:marBottom w:val="0"/>
      <w:divBdr>
        <w:top w:val="none" w:sz="0" w:space="0" w:color="auto"/>
        <w:left w:val="none" w:sz="0" w:space="0" w:color="auto"/>
        <w:bottom w:val="none" w:sz="0" w:space="0" w:color="auto"/>
        <w:right w:val="none" w:sz="0" w:space="0" w:color="auto"/>
      </w:divBdr>
    </w:div>
    <w:div w:id="2064790524">
      <w:bodyDiv w:val="1"/>
      <w:marLeft w:val="0"/>
      <w:marRight w:val="0"/>
      <w:marTop w:val="0"/>
      <w:marBottom w:val="0"/>
      <w:divBdr>
        <w:top w:val="none" w:sz="0" w:space="0" w:color="auto"/>
        <w:left w:val="none" w:sz="0" w:space="0" w:color="auto"/>
        <w:bottom w:val="none" w:sz="0" w:space="0" w:color="auto"/>
        <w:right w:val="none" w:sz="0" w:space="0" w:color="auto"/>
      </w:divBdr>
    </w:div>
    <w:div w:id="2123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C2AE-5E68-4CB2-8C4D-CBA68917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1034</Words>
  <Characters>6105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MFCR - Dopis_ministra_se_znakem_cernobile</vt:lpstr>
    </vt:vector>
  </TitlesOfParts>
  <Company>MF - Spisová služba EPD</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MFCR - Dopis_ministra_se_znakem_cernobile</dc:title>
  <dc:creator>Jelínková Jolana Ing.</dc:creator>
  <cp:lastModifiedBy>Jiří Aster</cp:lastModifiedBy>
  <cp:revision>4</cp:revision>
  <cp:lastPrinted>2018-05-21T15:05:00Z</cp:lastPrinted>
  <dcterms:created xsi:type="dcterms:W3CDTF">2018-08-07T08:46:00Z</dcterms:created>
  <dcterms:modified xsi:type="dcterms:W3CDTF">2018-08-08T18:06:00Z</dcterms:modified>
</cp:coreProperties>
</file>