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 w:rsidP="00700443">
      <w:pPr>
        <w:pStyle w:val="Bezmezer"/>
        <w:rPr>
          <w:rFonts w:cstheme="minorHAnsi"/>
          <w:b/>
        </w:rPr>
      </w:pPr>
      <w:r w:rsidRPr="00700443">
        <w:rPr>
          <w:rFonts w:cstheme="minorHAnsi"/>
          <w:b/>
        </w:rPr>
        <w:t>Příjemce</w:t>
      </w:r>
      <w:r w:rsidR="00B56934" w:rsidRPr="00700443">
        <w:rPr>
          <w:rFonts w:cstheme="minorHAnsi"/>
          <w:b/>
        </w:rPr>
        <w:t>:</w:t>
      </w:r>
    </w:p>
    <w:p w:rsidR="00700443" w:rsidRPr="00700443" w:rsidRDefault="00700443" w:rsidP="00700443">
      <w:pPr>
        <w:pStyle w:val="Bezmezer"/>
        <w:rPr>
          <w:rFonts w:cstheme="minorHAnsi"/>
          <w:b/>
        </w:rPr>
      </w:pPr>
    </w:p>
    <w:p w:rsidR="00350B26" w:rsidRPr="00700443" w:rsidRDefault="00350B26" w:rsidP="00700443">
      <w:pPr>
        <w:pStyle w:val="Bezmezer"/>
        <w:rPr>
          <w:rFonts w:cstheme="minorHAnsi"/>
          <w:color w:val="202124"/>
          <w:shd w:val="clear" w:color="auto" w:fill="FFFFFF"/>
        </w:rPr>
      </w:pPr>
      <w:r w:rsidRPr="00700443">
        <w:rPr>
          <w:rFonts w:cstheme="minorHAnsi"/>
          <w:color w:val="202124"/>
          <w:shd w:val="clear" w:color="auto" w:fill="FFFFFF"/>
        </w:rPr>
        <w:t>Vrchní soud Praha</w:t>
      </w:r>
    </w:p>
    <w:p w:rsidR="00700443" w:rsidRPr="00700443" w:rsidRDefault="00700443" w:rsidP="00700443">
      <w:pPr>
        <w:pStyle w:val="Bezmezer"/>
        <w:rPr>
          <w:rFonts w:cstheme="minorHAnsi"/>
          <w:color w:val="202124"/>
          <w:shd w:val="clear" w:color="auto" w:fill="FFFFFF"/>
        </w:rPr>
      </w:pPr>
      <w:r w:rsidRPr="00700443">
        <w:rPr>
          <w:rFonts w:cstheme="minorHAnsi"/>
          <w:color w:val="202124"/>
          <w:shd w:val="clear" w:color="auto" w:fill="FFFFFF"/>
        </w:rPr>
        <w:t>Předseda</w:t>
      </w:r>
    </w:p>
    <w:p w:rsidR="00700443" w:rsidRPr="00700443" w:rsidRDefault="00700443" w:rsidP="00700443">
      <w:pPr>
        <w:pStyle w:val="Bezmezer"/>
        <w:rPr>
          <w:rFonts w:cstheme="minorHAnsi"/>
          <w:color w:val="202124"/>
          <w:shd w:val="clear" w:color="auto" w:fill="FFFFFF"/>
        </w:rPr>
      </w:pPr>
      <w:r w:rsidRPr="00700443">
        <w:rPr>
          <w:rFonts w:cstheme="minorHAnsi"/>
          <w:color w:val="111111"/>
          <w:shd w:val="clear" w:color="auto" w:fill="FFFFFF"/>
        </w:rPr>
        <w:t>Mgr. </w:t>
      </w:r>
      <w:r w:rsidRPr="00700443">
        <w:rPr>
          <w:rFonts w:cstheme="minorHAnsi"/>
          <w:shd w:val="clear" w:color="auto" w:fill="FFFFFF"/>
        </w:rPr>
        <w:t xml:space="preserve">Luboš </w:t>
      </w:r>
      <w:proofErr w:type="spellStart"/>
      <w:r w:rsidRPr="00700443">
        <w:rPr>
          <w:rFonts w:cstheme="minorHAnsi"/>
          <w:shd w:val="clear" w:color="auto" w:fill="FFFFFF"/>
        </w:rPr>
        <w:t>Dörfl</w:t>
      </w:r>
      <w:proofErr w:type="spellEnd"/>
      <w:r w:rsidRPr="00700443">
        <w:rPr>
          <w:rFonts w:cstheme="minorHAnsi"/>
          <w:color w:val="111111"/>
          <w:shd w:val="clear" w:color="auto" w:fill="FFFFFF"/>
        </w:rPr>
        <w:t> </w:t>
      </w:r>
    </w:p>
    <w:p w:rsidR="00350B26" w:rsidRPr="00700443" w:rsidRDefault="00350B26" w:rsidP="00700443">
      <w:pPr>
        <w:pStyle w:val="Bezmezer"/>
        <w:rPr>
          <w:rFonts w:cstheme="minorHAnsi"/>
          <w:color w:val="202124"/>
          <w:shd w:val="clear" w:color="auto" w:fill="FFFFFF"/>
        </w:rPr>
      </w:pPr>
      <w:r w:rsidRPr="00700443">
        <w:rPr>
          <w:rFonts w:cstheme="minorHAnsi"/>
          <w:color w:val="202124"/>
          <w:shd w:val="clear" w:color="auto" w:fill="FFFFFF"/>
        </w:rPr>
        <w:t>náměstí Hrdinů 1300/11, Nusle (</w:t>
      </w:r>
      <w:r w:rsidRPr="00700443">
        <w:rPr>
          <w:rFonts w:cstheme="minorHAnsi"/>
          <w:bCs/>
          <w:color w:val="202124"/>
          <w:shd w:val="clear" w:color="auto" w:fill="FFFFFF"/>
        </w:rPr>
        <w:t>Praha</w:t>
      </w:r>
      <w:r w:rsidRPr="00700443">
        <w:rPr>
          <w:rFonts w:cstheme="minorHAnsi"/>
          <w:color w:val="202124"/>
          <w:shd w:val="clear" w:color="auto" w:fill="FFFFFF"/>
        </w:rPr>
        <w:t> 4)</w:t>
      </w:r>
    </w:p>
    <w:p w:rsidR="00350B26" w:rsidRPr="00700443" w:rsidRDefault="00350B26" w:rsidP="00700443">
      <w:pPr>
        <w:pStyle w:val="Bezmezer"/>
        <w:rPr>
          <w:rFonts w:cstheme="minorHAnsi"/>
          <w:bCs/>
          <w:color w:val="202124"/>
          <w:shd w:val="clear" w:color="auto" w:fill="FFFFFF"/>
        </w:rPr>
      </w:pPr>
      <w:r w:rsidRPr="00700443">
        <w:rPr>
          <w:rFonts w:cstheme="minorHAnsi"/>
          <w:color w:val="202124"/>
          <w:shd w:val="clear" w:color="auto" w:fill="FFFFFF"/>
        </w:rPr>
        <w:t>140 00 </w:t>
      </w:r>
      <w:r w:rsidRPr="00700443">
        <w:rPr>
          <w:rFonts w:cstheme="minorHAnsi"/>
          <w:bCs/>
          <w:color w:val="202124"/>
          <w:shd w:val="clear" w:color="auto" w:fill="FFFFFF"/>
        </w:rPr>
        <w:t>Praha</w:t>
      </w: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350B26">
        <w:rPr>
          <w:rFonts w:ascii="Arial" w:hAnsi="Arial" w:cs="Arial"/>
          <w:color w:val="202124"/>
          <w:sz w:val="17"/>
          <w:szCs w:val="17"/>
          <w:shd w:val="clear" w:color="auto" w:fill="FFFFFF"/>
        </w:rPr>
        <w:t>3fvabbh</w:t>
      </w:r>
    </w:p>
    <w:p w:rsidR="00B56934" w:rsidRDefault="00B56934">
      <w:r w:rsidRPr="00B56934">
        <w:rPr>
          <w:b/>
        </w:rPr>
        <w:t>Věc:</w:t>
      </w:r>
      <w:r w:rsidR="00230C49">
        <w:t xml:space="preserve"> Dopis předsedovi VS Praha</w:t>
      </w:r>
    </w:p>
    <w:p w:rsidR="00BF452C" w:rsidRDefault="00BF452C">
      <w:r>
        <w:t xml:space="preserve">                                                                                                                   </w:t>
      </w:r>
      <w:r w:rsidR="009C4840">
        <w:t xml:space="preserve">                 V Žebráku dne </w:t>
      </w:r>
      <w:r w:rsidR="00700443">
        <w:t>30</w:t>
      </w:r>
      <w:r>
        <w:t>.</w:t>
      </w:r>
      <w:r w:rsidR="00B22F5D">
        <w:t xml:space="preserve"> </w:t>
      </w:r>
      <w:r w:rsidR="00350B26">
        <w:t>1</w:t>
      </w:r>
      <w:r w:rsidR="00700443">
        <w:t>2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314698" w:rsidRDefault="00700443" w:rsidP="00314698">
      <w:pPr>
        <w:pStyle w:val="Bezmezer"/>
      </w:pPr>
      <w:r>
        <w:t>Vážený pane předsedo,</w:t>
      </w:r>
    </w:p>
    <w:p w:rsidR="00700443" w:rsidRDefault="00700443" w:rsidP="00314698">
      <w:pPr>
        <w:pStyle w:val="Bezmezer"/>
      </w:pPr>
    </w:p>
    <w:p w:rsidR="00700443" w:rsidRDefault="00700443" w:rsidP="00700443">
      <w:pPr>
        <w:jc w:val="both"/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 w:rsidRPr="00700443">
        <w:t>Dovoluji si Vám zaslat odkaz na článek MODUS OPERANDI: VRCHNÍ SOUD V PRAZE A TI DRUZÍ</w:t>
      </w:r>
      <w:r>
        <w:t xml:space="preserve"> ve víře, že Vám pomůže ve Vaší snaze – cituji: </w:t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Předseda Vrchního soudu v Praze Luboš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Dörfl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 policejní razii z 5. prosince 2020 komentoval slovy: </w:t>
      </w:r>
      <w:r w:rsidRPr="00700443">
        <w:rPr>
          <w:rFonts w:ascii="Trebuchet MS" w:hAnsi="Trebuchet MS"/>
          <w:i/>
          <w:color w:val="111111"/>
          <w:sz w:val="20"/>
          <w:szCs w:val="20"/>
          <w:shd w:val="clear" w:color="auto" w:fill="FFFFFF"/>
        </w:rPr>
        <w:t>„Ptám se, jak je možné, že v relativně úzkém kolektivu se objeví dvě vážná podezření z trestné činnosti. Stále o tom přemýšlím. O možných řešeních budu hovořit se soudci. Budeme to analyzovat,“</w:t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Hypertextovodkaz"/>
            <w:rFonts w:ascii="Trebuchet MS" w:hAnsi="Trebuchet MS"/>
            <w:color w:val="1E88E5"/>
            <w:sz w:val="20"/>
            <w:szCs w:val="20"/>
            <w:shd w:val="clear" w:color="auto" w:fill="FFFFFF"/>
          </w:rPr>
          <w:t>řekl</w:t>
        </w:r>
      </w:hyperlink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 serveru Lidovky.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cz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.</w:t>
      </w:r>
    </w:p>
    <w:p w:rsidR="00700443" w:rsidRDefault="00700443" w:rsidP="00E44828">
      <w:pPr>
        <w:pStyle w:val="Bezmezer"/>
      </w:pPr>
      <w:hyperlink r:id="rId6" w:history="1">
        <w:r w:rsidRPr="00EE790C">
          <w:rPr>
            <w:rStyle w:val="Hypertextovodkaz"/>
          </w:rPr>
          <w:t>https://www.sinagl.cz/z-korespondence/10722-modus-operandi-vrchni-soud-v-praze-a-ti-druzi.html</w:t>
        </w:r>
      </w:hyperlink>
      <w:r>
        <w:t xml:space="preserve"> </w:t>
      </w:r>
    </w:p>
    <w:p w:rsidR="00700443" w:rsidRDefault="00700443" w:rsidP="00E44828">
      <w:pPr>
        <w:pStyle w:val="Bezmezer"/>
      </w:pPr>
    </w:p>
    <w:p w:rsidR="00E44828" w:rsidRDefault="00700443" w:rsidP="00700443">
      <w:pPr>
        <w:jc w:val="both"/>
      </w:pPr>
      <w:r>
        <w:t>Věřím, že i Vás níže uvedené citáty osloví a budou motivují</w:t>
      </w:r>
      <w:r w:rsidR="00E44828">
        <w:t>cí</w:t>
      </w:r>
      <w:r>
        <w:t xml:space="preserve"> pro Vaši </w:t>
      </w:r>
      <w:r w:rsidR="00E44828">
        <w:t xml:space="preserve">nadcházející, </w:t>
      </w:r>
      <w:r>
        <w:t>nelehkou práci. Bez nezávislé justice a médií není svobody a demokracie</w:t>
      </w:r>
      <w:r w:rsidR="00E44828">
        <w:t>.</w:t>
      </w:r>
    </w:p>
    <w:p w:rsidR="00700443" w:rsidRPr="00700443" w:rsidRDefault="00E44828" w:rsidP="00700443">
      <w:pPr>
        <w:jc w:val="both"/>
      </w:pPr>
      <w:r>
        <w:t>Přeji Vám a Vašemu soudu mnoho zdaru v roce 2021!</w:t>
      </w:r>
      <w:r w:rsidR="00700443">
        <w:t xml:space="preserve"> </w:t>
      </w:r>
    </w:p>
    <w:p w:rsidR="00E44828" w:rsidRDefault="00E44828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Siln"/>
          <w:rFonts w:ascii="Tahoma" w:hAnsi="Tahoma" w:cs="Tahoma"/>
          <w:color w:val="333333"/>
          <w:sz w:val="15"/>
          <w:szCs w:val="15"/>
        </w:rPr>
        <w:t>***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„Zdůrazňování kontinuity minulého a současného práva je jen rafinovanou cestou, jak zabránit změnám v této zemi.“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JUDr. Vojtěch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Cepl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 st.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***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Právní věta: 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Nález Ústavního soudu ČR, 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sp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. zn. III. ÚS 269/99 ze dne </w:t>
      </w:r>
      <w:proofErr w:type="gram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2.3.2000</w:t>
      </w:r>
      <w:proofErr w:type="gram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, předseda ÚS prof. Vojtěch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Cepl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. st.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***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lastRenderedPageBreak/>
        <w:t xml:space="preserve">Z dokumentu o Miloši Formanovi – ukázka z filmu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Lud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 versus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Larry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Flynt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 (1996): „Rozhodli jednohlasně. Sepsal to sám </w:t>
      </w:r>
      <w:proofErr w:type="spell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Rehnquist</w:t>
      </w:r>
      <w:proofErr w:type="spell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. Poslechni si to: Podstatou prvního dodatku je uznání svobody myšlenek. Svoboda projevu není jen součástí svobod jednotlivce. Je také zásadní pro hledání pravdy a pro životaschopnost společnosti. Při diskusi o věcech veřejných jsou i mnohem méně obdivuhodné činy chráněny prvním dodatkem. Takže jsme vyhráli.“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 xml:space="preserve">„Vím, že nejsme nesmrtelní. Ale já prostě nechci žít s tím, že zemřu a nic nebude mít smysl. A to je celé.“ 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Tak končí skvělý dokument ČT (</w:t>
      </w:r>
      <w:proofErr w:type="gramStart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26.10.2019</w:t>
      </w:r>
      <w:proofErr w:type="gramEnd"/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).</w:t>
      </w:r>
    </w:p>
    <w:p w:rsidR="00E44828" w:rsidRDefault="00E44828" w:rsidP="00E44828">
      <w:pPr>
        <w:pStyle w:val="Normlnweb"/>
        <w:shd w:val="clear" w:color="auto" w:fill="FFFFFF"/>
        <w:spacing w:before="0" w:beforeAutospacing="0" w:after="62" w:afterAutospacing="0"/>
        <w:jc w:val="center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b/>
          <w:bCs/>
          <w:color w:val="333333"/>
          <w:sz w:val="15"/>
          <w:szCs w:val="15"/>
        </w:rPr>
        <w:t>***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909F9"/>
    <w:rsid w:val="00103152"/>
    <w:rsid w:val="00134BED"/>
    <w:rsid w:val="00157793"/>
    <w:rsid w:val="001D1C63"/>
    <w:rsid w:val="00230C49"/>
    <w:rsid w:val="00260A32"/>
    <w:rsid w:val="002719CD"/>
    <w:rsid w:val="00284659"/>
    <w:rsid w:val="00314698"/>
    <w:rsid w:val="00350B26"/>
    <w:rsid w:val="0038727D"/>
    <w:rsid w:val="003E3EC8"/>
    <w:rsid w:val="003F4EC6"/>
    <w:rsid w:val="004158E7"/>
    <w:rsid w:val="004273C9"/>
    <w:rsid w:val="00472F4F"/>
    <w:rsid w:val="004F7D59"/>
    <w:rsid w:val="0061120B"/>
    <w:rsid w:val="006775E5"/>
    <w:rsid w:val="006A5CD2"/>
    <w:rsid w:val="00700443"/>
    <w:rsid w:val="00700601"/>
    <w:rsid w:val="00726A02"/>
    <w:rsid w:val="007736B2"/>
    <w:rsid w:val="007C448B"/>
    <w:rsid w:val="007D52B8"/>
    <w:rsid w:val="008047DF"/>
    <w:rsid w:val="00873BC5"/>
    <w:rsid w:val="00920C21"/>
    <w:rsid w:val="009376F5"/>
    <w:rsid w:val="009C4840"/>
    <w:rsid w:val="00A32126"/>
    <w:rsid w:val="00A84B07"/>
    <w:rsid w:val="00AB2878"/>
    <w:rsid w:val="00B22F5D"/>
    <w:rsid w:val="00B56934"/>
    <w:rsid w:val="00B954E4"/>
    <w:rsid w:val="00B96834"/>
    <w:rsid w:val="00BC278F"/>
    <w:rsid w:val="00BF452C"/>
    <w:rsid w:val="00C35216"/>
    <w:rsid w:val="00C73026"/>
    <w:rsid w:val="00C81E1B"/>
    <w:rsid w:val="00C83C02"/>
    <w:rsid w:val="00C90900"/>
    <w:rsid w:val="00CF44E1"/>
    <w:rsid w:val="00D00B39"/>
    <w:rsid w:val="00D25C29"/>
    <w:rsid w:val="00D40BDC"/>
    <w:rsid w:val="00E44828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1">
    <w:name w:val="heading 1"/>
    <w:basedOn w:val="Normln"/>
    <w:next w:val="Normln"/>
    <w:link w:val="Nadpis1Char"/>
    <w:uiPriority w:val="9"/>
    <w:qFormat/>
    <w:rsid w:val="0070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0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0722-modus-operandi-vrchni-soud-v-praze-a-ti-druzi.html" TargetMode="External"/><Relationship Id="rId5" Type="http://schemas.openxmlformats.org/officeDocument/2006/relationships/hyperlink" Target="https://www.lidovky.cz/domov/kauza-sovak-spustila-lavinu-kvuli-korupci-cekaji-vrchni-soud-v-praze-zmeny.A201209_080208_ln_domov_li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43</cp:revision>
  <dcterms:created xsi:type="dcterms:W3CDTF">2018-12-09T09:54:00Z</dcterms:created>
  <dcterms:modified xsi:type="dcterms:W3CDTF">2020-12-30T09:40:00Z</dcterms:modified>
</cp:coreProperties>
</file>